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A3" w:rsidRPr="0059117E" w:rsidRDefault="00455DA3" w:rsidP="00455DA3">
      <w:pPr>
        <w:ind w:left="-1440"/>
        <w:sectPr w:rsidR="00455DA3" w:rsidRPr="0059117E" w:rsidSect="00455DA3">
          <w:footerReference w:type="default" r:id="rId8"/>
          <w:type w:val="continuous"/>
          <w:pgSz w:w="11906" w:h="16838"/>
          <w:pgMar w:top="0" w:right="1274" w:bottom="1134" w:left="1440" w:header="708" w:footer="708" w:gutter="0"/>
          <w:cols w:space="708"/>
          <w:docGrid w:linePitch="360"/>
        </w:sectPr>
      </w:pPr>
      <w:r w:rsidRPr="0059117E">
        <w:rPr>
          <w:noProof/>
          <w:lang w:eastAsia="en-AU"/>
        </w:rPr>
        <w:drawing>
          <wp:anchor distT="0" distB="0" distL="114300" distR="114300" simplePos="0" relativeHeight="251658240" behindDoc="0" locked="0" layoutInCell="1" allowOverlap="1">
            <wp:simplePos x="0" y="0"/>
            <wp:positionH relativeFrom="column">
              <wp:posOffset>-914400</wp:posOffset>
            </wp:positionH>
            <wp:positionV relativeFrom="paragraph">
              <wp:posOffset>-620395</wp:posOffset>
            </wp:positionV>
            <wp:extent cx="7579995" cy="2029460"/>
            <wp:effectExtent l="0" t="0" r="1905" b="8890"/>
            <wp:wrapSquare wrapText="bothSides"/>
            <wp:docPr id="2" name="Picture 2" descr="Department of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14_0001 EMP Word Template navy_0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9995" cy="2029460"/>
                    </a:xfrm>
                    <a:prstGeom prst="rect">
                      <a:avLst/>
                    </a:prstGeom>
                  </pic:spPr>
                </pic:pic>
              </a:graphicData>
            </a:graphic>
            <wp14:sizeRelH relativeFrom="page">
              <wp14:pctWidth>0</wp14:pctWidth>
            </wp14:sizeRelH>
            <wp14:sizeRelV relativeFrom="page">
              <wp14:pctHeight>0</wp14:pctHeight>
            </wp14:sizeRelV>
          </wp:anchor>
        </w:drawing>
      </w:r>
    </w:p>
    <w:p w:rsidR="00455DA3" w:rsidRPr="0059117E" w:rsidRDefault="00455DA3" w:rsidP="00455DA3">
      <w:pPr>
        <w:pStyle w:val="Title"/>
        <w:tabs>
          <w:tab w:val="left" w:pos="8789"/>
        </w:tabs>
        <w:ind w:left="-284" w:right="89"/>
      </w:pPr>
    </w:p>
    <w:p w:rsidR="00455DA3" w:rsidRPr="0059117E" w:rsidRDefault="00455DA3" w:rsidP="00455DA3">
      <w:pPr>
        <w:pStyle w:val="Title"/>
        <w:tabs>
          <w:tab w:val="left" w:pos="8789"/>
        </w:tabs>
        <w:spacing w:after="240"/>
        <w:ind w:left="-284" w:right="91"/>
        <w:contextualSpacing w:val="0"/>
        <w:rPr>
          <w:b/>
          <w:sz w:val="56"/>
        </w:rPr>
      </w:pPr>
      <w:bookmarkStart w:id="0" w:name="_GoBack"/>
      <w:bookmarkEnd w:id="0"/>
      <w:r w:rsidRPr="0059117E">
        <w:rPr>
          <w:b/>
          <w:sz w:val="56"/>
        </w:rPr>
        <w:t>Emp</w:t>
      </w:r>
      <w:r w:rsidR="00A15C2D">
        <w:rPr>
          <w:b/>
          <w:sz w:val="56"/>
        </w:rPr>
        <w:t>loyment Outlook to November 2019</w:t>
      </w:r>
    </w:p>
    <w:p w:rsidR="00455DA3" w:rsidRPr="0059117E" w:rsidRDefault="00455DA3" w:rsidP="00455DA3">
      <w:pPr>
        <w:pStyle w:val="Title"/>
        <w:tabs>
          <w:tab w:val="left" w:pos="8789"/>
        </w:tabs>
        <w:ind w:left="-284" w:right="89"/>
        <w:rPr>
          <w:b/>
          <w:sz w:val="56"/>
        </w:rPr>
      </w:pPr>
      <w:r w:rsidRPr="0059117E">
        <w:rPr>
          <w:i/>
          <w:sz w:val="28"/>
        </w:rPr>
        <w:t>Based on the Department of Employment’s 201</w:t>
      </w:r>
      <w:r w:rsidR="004D4D9C">
        <w:rPr>
          <w:i/>
          <w:sz w:val="28"/>
        </w:rPr>
        <w:t>5</w:t>
      </w:r>
      <w:r w:rsidRPr="0059117E">
        <w:rPr>
          <w:i/>
          <w:sz w:val="28"/>
        </w:rPr>
        <w:t xml:space="preserve"> employment projections</w:t>
      </w:r>
    </w:p>
    <w:p w:rsidR="00455DA3" w:rsidRPr="0059117E" w:rsidRDefault="00455DA3" w:rsidP="00455DA3"/>
    <w:p w:rsidR="002B391B" w:rsidRPr="0059117E" w:rsidRDefault="002B391B" w:rsidP="00455DA3"/>
    <w:p w:rsidR="00CC5978" w:rsidRDefault="00455DA3" w:rsidP="00455DA3">
      <w:pPr>
        <w:pStyle w:val="Heading1"/>
        <w:keepNext w:val="0"/>
        <w:spacing w:before="0" w:after="240" w:line="240" w:lineRule="auto"/>
        <w:contextualSpacing/>
        <w:rPr>
          <w:noProof/>
        </w:rPr>
      </w:pPr>
      <w:bookmarkStart w:id="1" w:name="_Toc395188055"/>
      <w:bookmarkStart w:id="2" w:name="_Toc395707296"/>
      <w:bookmarkStart w:id="3" w:name="_Toc395777242"/>
      <w:bookmarkStart w:id="4" w:name="_Toc395777309"/>
      <w:bookmarkStart w:id="5" w:name="_Toc396480036"/>
      <w:bookmarkStart w:id="6" w:name="_Toc425165162"/>
      <w:bookmarkStart w:id="7" w:name="_Toc425756965"/>
      <w:r w:rsidRPr="0059117E">
        <w:rPr>
          <w:rFonts w:ascii="Calibri" w:eastAsiaTheme="majorEastAsia" w:hAnsi="Calibri" w:cstheme="majorBidi"/>
          <w:color w:val="003D6B"/>
          <w:sz w:val="36"/>
          <w:szCs w:val="36"/>
        </w:rPr>
        <w:t>Table of Contents</w:t>
      </w:r>
      <w:bookmarkEnd w:id="1"/>
      <w:bookmarkEnd w:id="2"/>
      <w:bookmarkEnd w:id="3"/>
      <w:bookmarkEnd w:id="4"/>
      <w:bookmarkEnd w:id="5"/>
      <w:bookmarkEnd w:id="6"/>
      <w:bookmarkEnd w:id="7"/>
      <w:r w:rsidRPr="0059117E">
        <w:rPr>
          <w:rFonts w:ascii="Calibri" w:eastAsiaTheme="majorEastAsia" w:hAnsi="Calibri" w:cstheme="majorBidi"/>
          <w:b w:val="0"/>
          <w:color w:val="003D6B"/>
          <w:sz w:val="36"/>
          <w:szCs w:val="28"/>
          <w:lang w:bidi="en-US"/>
        </w:rPr>
        <w:fldChar w:fldCharType="begin"/>
      </w:r>
      <w:r w:rsidRPr="0059117E">
        <w:rPr>
          <w:b w:val="0"/>
        </w:rPr>
        <w:instrText xml:space="preserve"> TOC \o "1-3" \h \z \u </w:instrText>
      </w:r>
      <w:r w:rsidRPr="0059117E">
        <w:rPr>
          <w:rFonts w:ascii="Calibri" w:eastAsiaTheme="majorEastAsia" w:hAnsi="Calibri" w:cstheme="majorBidi"/>
          <w:b w:val="0"/>
          <w:color w:val="003D6B"/>
          <w:sz w:val="36"/>
          <w:szCs w:val="28"/>
          <w:lang w:bidi="en-US"/>
        </w:rPr>
        <w:fldChar w:fldCharType="separate"/>
      </w:r>
    </w:p>
    <w:p w:rsidR="00CC5978" w:rsidRDefault="00D36B16">
      <w:pPr>
        <w:pStyle w:val="TOC1"/>
        <w:rPr>
          <w:b w:val="0"/>
          <w:lang w:eastAsia="en-AU"/>
        </w:rPr>
      </w:pPr>
      <w:hyperlink w:anchor="_Toc425756966" w:history="1">
        <w:r w:rsidR="00CC5978" w:rsidRPr="0065309F">
          <w:rPr>
            <w:rStyle w:val="Hyperlink"/>
            <w:rFonts w:ascii="Calibri" w:eastAsiaTheme="majorEastAsia" w:hAnsi="Calibri" w:cstheme="majorBidi"/>
          </w:rPr>
          <w:t>Introduction</w:t>
        </w:r>
        <w:r w:rsidR="00CC5978">
          <w:rPr>
            <w:webHidden/>
          </w:rPr>
          <w:tab/>
        </w:r>
        <w:r w:rsidR="00CC5978">
          <w:rPr>
            <w:webHidden/>
          </w:rPr>
          <w:fldChar w:fldCharType="begin"/>
        </w:r>
        <w:r w:rsidR="00CC5978">
          <w:rPr>
            <w:webHidden/>
          </w:rPr>
          <w:instrText xml:space="preserve"> PAGEREF _Toc425756966 \h </w:instrText>
        </w:r>
        <w:r w:rsidR="00CC5978">
          <w:rPr>
            <w:webHidden/>
          </w:rPr>
        </w:r>
        <w:r w:rsidR="00CC5978">
          <w:rPr>
            <w:webHidden/>
          </w:rPr>
          <w:fldChar w:fldCharType="separate"/>
        </w:r>
        <w:r w:rsidR="009A05C6">
          <w:rPr>
            <w:webHidden/>
          </w:rPr>
          <w:t>2</w:t>
        </w:r>
        <w:r w:rsidR="00CC5978">
          <w:rPr>
            <w:webHidden/>
          </w:rPr>
          <w:fldChar w:fldCharType="end"/>
        </w:r>
      </w:hyperlink>
    </w:p>
    <w:p w:rsidR="00CC5978" w:rsidRDefault="00D36B16">
      <w:pPr>
        <w:pStyle w:val="TOC1"/>
        <w:rPr>
          <w:b w:val="0"/>
          <w:lang w:eastAsia="en-AU"/>
        </w:rPr>
      </w:pPr>
      <w:hyperlink w:anchor="_Toc425756967" w:history="1">
        <w:r w:rsidR="00CC5978" w:rsidRPr="0065309F">
          <w:rPr>
            <w:rStyle w:val="Hyperlink"/>
            <w:rFonts w:ascii="Calibri" w:eastAsiaTheme="majorEastAsia" w:hAnsi="Calibri" w:cstheme="majorBidi"/>
          </w:rPr>
          <w:t>Projected employment growth by industry</w:t>
        </w:r>
        <w:r w:rsidR="00CC5978">
          <w:rPr>
            <w:webHidden/>
          </w:rPr>
          <w:tab/>
        </w:r>
        <w:r w:rsidR="00CC5978">
          <w:rPr>
            <w:webHidden/>
          </w:rPr>
          <w:fldChar w:fldCharType="begin"/>
        </w:r>
        <w:r w:rsidR="00CC5978">
          <w:rPr>
            <w:webHidden/>
          </w:rPr>
          <w:instrText xml:space="preserve"> PAGEREF _Toc425756967 \h </w:instrText>
        </w:r>
        <w:r w:rsidR="00CC5978">
          <w:rPr>
            <w:webHidden/>
          </w:rPr>
        </w:r>
        <w:r w:rsidR="00CC5978">
          <w:rPr>
            <w:webHidden/>
          </w:rPr>
          <w:fldChar w:fldCharType="separate"/>
        </w:r>
        <w:r w:rsidR="009A05C6">
          <w:rPr>
            <w:webHidden/>
          </w:rPr>
          <w:t>3</w:t>
        </w:r>
        <w:r w:rsidR="00CC5978">
          <w:rPr>
            <w:webHidden/>
          </w:rPr>
          <w:fldChar w:fldCharType="end"/>
        </w:r>
      </w:hyperlink>
    </w:p>
    <w:p w:rsidR="00CC5978" w:rsidRDefault="00D36B16">
      <w:pPr>
        <w:pStyle w:val="TOC1"/>
        <w:rPr>
          <w:b w:val="0"/>
          <w:lang w:eastAsia="en-AU"/>
        </w:rPr>
      </w:pPr>
      <w:hyperlink w:anchor="_Toc425756968" w:history="1">
        <w:r w:rsidR="00CC5978" w:rsidRPr="0065309F">
          <w:rPr>
            <w:rStyle w:val="Hyperlink"/>
            <w:rFonts w:ascii="Calibri" w:eastAsiaTheme="majorEastAsia" w:hAnsi="Calibri" w:cstheme="majorBidi"/>
          </w:rPr>
          <w:t>Projected employment growth by skill level</w:t>
        </w:r>
        <w:r w:rsidR="00CC5978">
          <w:rPr>
            <w:webHidden/>
          </w:rPr>
          <w:tab/>
        </w:r>
        <w:r w:rsidR="00CC5978">
          <w:rPr>
            <w:webHidden/>
          </w:rPr>
          <w:fldChar w:fldCharType="begin"/>
        </w:r>
        <w:r w:rsidR="00CC5978">
          <w:rPr>
            <w:webHidden/>
          </w:rPr>
          <w:instrText xml:space="preserve"> PAGEREF _Toc425756968 \h </w:instrText>
        </w:r>
        <w:r w:rsidR="00CC5978">
          <w:rPr>
            <w:webHidden/>
          </w:rPr>
        </w:r>
        <w:r w:rsidR="00CC5978">
          <w:rPr>
            <w:webHidden/>
          </w:rPr>
          <w:fldChar w:fldCharType="separate"/>
        </w:r>
        <w:r w:rsidR="009A05C6">
          <w:rPr>
            <w:webHidden/>
          </w:rPr>
          <w:t>6</w:t>
        </w:r>
        <w:r w:rsidR="00CC5978">
          <w:rPr>
            <w:webHidden/>
          </w:rPr>
          <w:fldChar w:fldCharType="end"/>
        </w:r>
      </w:hyperlink>
    </w:p>
    <w:p w:rsidR="00CC5978" w:rsidRDefault="00D36B16">
      <w:pPr>
        <w:pStyle w:val="TOC1"/>
        <w:rPr>
          <w:b w:val="0"/>
          <w:lang w:eastAsia="en-AU"/>
        </w:rPr>
      </w:pPr>
      <w:hyperlink w:anchor="_Toc425756969" w:history="1">
        <w:r w:rsidR="00CC5978" w:rsidRPr="0065309F">
          <w:rPr>
            <w:rStyle w:val="Hyperlink"/>
            <w:rFonts w:ascii="Calibri" w:eastAsiaTheme="majorEastAsia" w:hAnsi="Calibri" w:cstheme="majorBidi"/>
          </w:rPr>
          <w:t>Projected employment growth by occupation</w:t>
        </w:r>
        <w:r w:rsidR="00CC5978">
          <w:rPr>
            <w:webHidden/>
          </w:rPr>
          <w:tab/>
        </w:r>
        <w:r w:rsidR="00CC5978">
          <w:rPr>
            <w:webHidden/>
          </w:rPr>
          <w:fldChar w:fldCharType="begin"/>
        </w:r>
        <w:r w:rsidR="00CC5978">
          <w:rPr>
            <w:webHidden/>
          </w:rPr>
          <w:instrText xml:space="preserve"> PAGEREF _Toc425756969 \h </w:instrText>
        </w:r>
        <w:r w:rsidR="00CC5978">
          <w:rPr>
            <w:webHidden/>
          </w:rPr>
        </w:r>
        <w:r w:rsidR="00CC5978">
          <w:rPr>
            <w:webHidden/>
          </w:rPr>
          <w:fldChar w:fldCharType="separate"/>
        </w:r>
        <w:r w:rsidR="009A05C6">
          <w:rPr>
            <w:webHidden/>
          </w:rPr>
          <w:t>7</w:t>
        </w:r>
        <w:r w:rsidR="00CC5978">
          <w:rPr>
            <w:webHidden/>
          </w:rPr>
          <w:fldChar w:fldCharType="end"/>
        </w:r>
      </w:hyperlink>
    </w:p>
    <w:p w:rsidR="00CC5978" w:rsidRDefault="00D36B16">
      <w:pPr>
        <w:pStyle w:val="TOC1"/>
        <w:rPr>
          <w:b w:val="0"/>
          <w:lang w:eastAsia="en-AU"/>
        </w:rPr>
      </w:pPr>
      <w:hyperlink w:anchor="_Toc425756970" w:history="1">
        <w:r w:rsidR="00CC5978" w:rsidRPr="0065309F">
          <w:rPr>
            <w:rStyle w:val="Hyperlink"/>
            <w:rFonts w:ascii="Calibri" w:eastAsiaTheme="majorEastAsia" w:hAnsi="Calibri" w:cstheme="majorBidi"/>
          </w:rPr>
          <w:t>Projected employment growth by state and territory</w:t>
        </w:r>
        <w:r w:rsidR="00CC5978">
          <w:rPr>
            <w:webHidden/>
          </w:rPr>
          <w:tab/>
        </w:r>
        <w:r w:rsidR="00CC5978">
          <w:rPr>
            <w:webHidden/>
          </w:rPr>
          <w:fldChar w:fldCharType="begin"/>
        </w:r>
        <w:r w:rsidR="00CC5978">
          <w:rPr>
            <w:webHidden/>
          </w:rPr>
          <w:instrText xml:space="preserve"> PAGEREF _Toc425756970 \h </w:instrText>
        </w:r>
        <w:r w:rsidR="00CC5978">
          <w:rPr>
            <w:webHidden/>
          </w:rPr>
        </w:r>
        <w:r w:rsidR="00CC5978">
          <w:rPr>
            <w:webHidden/>
          </w:rPr>
          <w:fldChar w:fldCharType="separate"/>
        </w:r>
        <w:r w:rsidR="009A05C6">
          <w:rPr>
            <w:webHidden/>
          </w:rPr>
          <w:t>9</w:t>
        </w:r>
        <w:r w:rsidR="00CC5978">
          <w:rPr>
            <w:webHidden/>
          </w:rPr>
          <w:fldChar w:fldCharType="end"/>
        </w:r>
      </w:hyperlink>
    </w:p>
    <w:p w:rsidR="00CC5978" w:rsidRDefault="00D36B16">
      <w:pPr>
        <w:pStyle w:val="TOC1"/>
        <w:rPr>
          <w:b w:val="0"/>
          <w:lang w:eastAsia="en-AU"/>
        </w:rPr>
      </w:pPr>
      <w:hyperlink w:anchor="_Toc425756971" w:history="1">
        <w:r w:rsidR="00CC5978" w:rsidRPr="0065309F">
          <w:rPr>
            <w:rStyle w:val="Hyperlink"/>
            <w:rFonts w:ascii="Calibri" w:eastAsiaTheme="majorEastAsia" w:hAnsi="Calibri" w:cstheme="majorBidi"/>
          </w:rPr>
          <w:t>Projected employment growth by region</w:t>
        </w:r>
        <w:r w:rsidR="00CC5978">
          <w:rPr>
            <w:webHidden/>
          </w:rPr>
          <w:tab/>
        </w:r>
        <w:r w:rsidR="00CC5978">
          <w:rPr>
            <w:webHidden/>
          </w:rPr>
          <w:fldChar w:fldCharType="begin"/>
        </w:r>
        <w:r w:rsidR="00CC5978">
          <w:rPr>
            <w:webHidden/>
          </w:rPr>
          <w:instrText xml:space="preserve"> PAGEREF _Toc425756971 \h </w:instrText>
        </w:r>
        <w:r w:rsidR="00CC5978">
          <w:rPr>
            <w:webHidden/>
          </w:rPr>
        </w:r>
        <w:r w:rsidR="00CC5978">
          <w:rPr>
            <w:webHidden/>
          </w:rPr>
          <w:fldChar w:fldCharType="separate"/>
        </w:r>
        <w:r w:rsidR="009A05C6">
          <w:rPr>
            <w:webHidden/>
          </w:rPr>
          <w:t>10</w:t>
        </w:r>
        <w:r w:rsidR="00CC5978">
          <w:rPr>
            <w:webHidden/>
          </w:rPr>
          <w:fldChar w:fldCharType="end"/>
        </w:r>
      </w:hyperlink>
    </w:p>
    <w:p w:rsidR="00CC5978" w:rsidRDefault="00D36B16">
      <w:pPr>
        <w:pStyle w:val="TOC1"/>
        <w:rPr>
          <w:b w:val="0"/>
          <w:lang w:eastAsia="en-AU"/>
        </w:rPr>
      </w:pPr>
      <w:hyperlink w:anchor="_Toc425756972" w:history="1">
        <w:r w:rsidR="00CC5978" w:rsidRPr="0065309F">
          <w:rPr>
            <w:rStyle w:val="Hyperlink"/>
            <w:rFonts w:ascii="Calibri" w:eastAsiaTheme="majorEastAsia" w:hAnsi="Calibri" w:cstheme="majorBidi"/>
          </w:rPr>
          <w:t>Background and methodology</w:t>
        </w:r>
        <w:r w:rsidR="00CC5978">
          <w:rPr>
            <w:webHidden/>
          </w:rPr>
          <w:tab/>
        </w:r>
        <w:r w:rsidR="00CC5978">
          <w:rPr>
            <w:webHidden/>
          </w:rPr>
          <w:fldChar w:fldCharType="begin"/>
        </w:r>
        <w:r w:rsidR="00CC5978">
          <w:rPr>
            <w:webHidden/>
          </w:rPr>
          <w:instrText xml:space="preserve"> PAGEREF _Toc425756972 \h </w:instrText>
        </w:r>
        <w:r w:rsidR="00CC5978">
          <w:rPr>
            <w:webHidden/>
          </w:rPr>
        </w:r>
        <w:r w:rsidR="00CC5978">
          <w:rPr>
            <w:webHidden/>
          </w:rPr>
          <w:fldChar w:fldCharType="separate"/>
        </w:r>
        <w:r w:rsidR="009A05C6">
          <w:rPr>
            <w:webHidden/>
          </w:rPr>
          <w:t>11</w:t>
        </w:r>
        <w:r w:rsidR="00CC5978">
          <w:rPr>
            <w:webHidden/>
          </w:rPr>
          <w:fldChar w:fldCharType="end"/>
        </w:r>
      </w:hyperlink>
    </w:p>
    <w:p w:rsidR="00455DA3" w:rsidRPr="0059117E" w:rsidRDefault="00455DA3" w:rsidP="00455DA3">
      <w:pPr>
        <w:rPr>
          <w:noProof/>
        </w:rPr>
      </w:pPr>
      <w:r w:rsidRPr="0059117E">
        <w:rPr>
          <w:bCs/>
          <w:noProof/>
        </w:rPr>
        <w:fldChar w:fldCharType="end"/>
      </w:r>
    </w:p>
    <w:p w:rsidR="00455DA3" w:rsidRPr="0059117E" w:rsidRDefault="00455DA3" w:rsidP="00455DA3"/>
    <w:p w:rsidR="00455DA3" w:rsidRPr="0059117E" w:rsidRDefault="00455DA3" w:rsidP="00455DA3">
      <w:pPr>
        <w:pStyle w:val="ListParagraph"/>
      </w:pPr>
    </w:p>
    <w:p w:rsidR="00455DA3" w:rsidRPr="0059117E" w:rsidRDefault="00455DA3" w:rsidP="00455DA3"/>
    <w:p w:rsidR="00455DA3" w:rsidRPr="0059117E" w:rsidRDefault="00455DA3" w:rsidP="00455DA3">
      <w:pPr>
        <w:pStyle w:val="Heading1"/>
        <w:keepNext w:val="0"/>
        <w:spacing w:before="0" w:after="240" w:line="240" w:lineRule="auto"/>
        <w:contextualSpacing/>
      </w:pPr>
      <w:r w:rsidRPr="0059117E">
        <w:br w:type="page"/>
      </w:r>
    </w:p>
    <w:p w:rsidR="00455DA3" w:rsidRPr="00480C42" w:rsidRDefault="00455DA3" w:rsidP="00455DA3">
      <w:pPr>
        <w:pStyle w:val="Heading1"/>
        <w:keepNext w:val="0"/>
        <w:spacing w:before="0" w:after="240" w:line="240" w:lineRule="auto"/>
        <w:contextualSpacing/>
        <w:rPr>
          <w:rFonts w:ascii="Calibri" w:eastAsiaTheme="majorEastAsia" w:hAnsi="Calibri" w:cstheme="majorBidi"/>
          <w:color w:val="003D6B"/>
          <w:sz w:val="36"/>
          <w:szCs w:val="36"/>
        </w:rPr>
      </w:pPr>
      <w:bookmarkStart w:id="8" w:name="_Toc395777243"/>
      <w:bookmarkStart w:id="9" w:name="_Toc425756966"/>
      <w:r w:rsidRPr="00C06A3A">
        <w:rPr>
          <w:rFonts w:ascii="Calibri" w:eastAsiaTheme="majorEastAsia" w:hAnsi="Calibri" w:cstheme="majorBidi"/>
          <w:color w:val="003D6B"/>
          <w:sz w:val="36"/>
          <w:szCs w:val="36"/>
        </w:rPr>
        <w:lastRenderedPageBreak/>
        <w:t>Introduction</w:t>
      </w:r>
      <w:bookmarkEnd w:id="8"/>
      <w:bookmarkEnd w:id="9"/>
      <w:r w:rsidRPr="00480C42">
        <w:rPr>
          <w:rFonts w:ascii="Calibri" w:eastAsiaTheme="majorEastAsia" w:hAnsi="Calibri" w:cstheme="majorBidi"/>
          <w:color w:val="003D6B"/>
          <w:sz w:val="36"/>
          <w:szCs w:val="36"/>
        </w:rPr>
        <w:t xml:space="preserve"> </w:t>
      </w:r>
    </w:p>
    <w:p w:rsidR="00C95546" w:rsidRDefault="00455DA3" w:rsidP="00455DA3">
      <w:pPr>
        <w:jc w:val="both"/>
        <w:rPr>
          <w:highlight w:val="yellow"/>
        </w:rPr>
      </w:pPr>
      <w:r w:rsidRPr="00C95546">
        <w:t>Employment growth in Australia has remained relatively subdued compared with the robust labour market conditions leading up to the onset</w:t>
      </w:r>
      <w:r w:rsidR="00E449D8" w:rsidRPr="00C95546">
        <w:t xml:space="preserve"> of the Global Financial Crisis. Employment has increased by</w:t>
      </w:r>
      <w:r w:rsidR="004B58E0">
        <w:t xml:space="preserve"> 780,500 (</w:t>
      </w:r>
      <w:r w:rsidR="004B1404">
        <w:t>or </w:t>
      </w:r>
      <w:r w:rsidR="004B58E0">
        <w:t>7.1</w:t>
      </w:r>
      <w:r w:rsidRPr="00C95546">
        <w:t xml:space="preserve"> per cent) over the five years to </w:t>
      </w:r>
      <w:r w:rsidR="004B58E0">
        <w:t>June</w:t>
      </w:r>
      <w:r w:rsidRPr="00C95546">
        <w:t xml:space="preserve"> 201</w:t>
      </w:r>
      <w:r w:rsidR="00C95546" w:rsidRPr="00C95546">
        <w:t>5</w:t>
      </w:r>
      <w:r w:rsidRPr="00C95546">
        <w:t xml:space="preserve">, </w:t>
      </w:r>
      <w:r w:rsidR="00E449D8" w:rsidRPr="00C95546">
        <w:t>well below the</w:t>
      </w:r>
      <w:r w:rsidRPr="00C95546">
        <w:t xml:space="preserve"> g</w:t>
      </w:r>
      <w:r w:rsidR="00E449D8" w:rsidRPr="00C95546">
        <w:t>rowth of 1,</w:t>
      </w:r>
      <w:r w:rsidR="004B58E0">
        <w:t>098</w:t>
      </w:r>
      <w:r w:rsidR="00E449D8" w:rsidRPr="00C95546">
        <w:t>,</w:t>
      </w:r>
      <w:r w:rsidR="00C95546" w:rsidRPr="00C95546">
        <w:t>9</w:t>
      </w:r>
      <w:r w:rsidR="00E449D8" w:rsidRPr="00C95546">
        <w:t xml:space="preserve">00 (or </w:t>
      </w:r>
      <w:r w:rsidR="00C95546" w:rsidRPr="00C95546">
        <w:t>11.1</w:t>
      </w:r>
      <w:r w:rsidR="00E449D8" w:rsidRPr="00C95546">
        <w:t> per </w:t>
      </w:r>
      <w:r w:rsidRPr="00C95546">
        <w:t xml:space="preserve">cent) </w:t>
      </w:r>
      <w:r w:rsidR="00E449D8" w:rsidRPr="00C95546">
        <w:t xml:space="preserve">recorded </w:t>
      </w:r>
      <w:r w:rsidRPr="00C95546">
        <w:t xml:space="preserve">over the five years to </w:t>
      </w:r>
      <w:r w:rsidR="00F56F66">
        <w:t>June</w:t>
      </w:r>
      <w:r w:rsidRPr="00C95546">
        <w:t xml:space="preserve"> 20</w:t>
      </w:r>
      <w:r w:rsidR="00C95546" w:rsidRPr="00C95546">
        <w:t>10</w:t>
      </w:r>
      <w:r w:rsidRPr="00C95546">
        <w:rPr>
          <w:rStyle w:val="FootnoteReference"/>
        </w:rPr>
        <w:footnoteReference w:id="1"/>
      </w:r>
      <w:r w:rsidRPr="00C95546">
        <w:t xml:space="preserve">. </w:t>
      </w:r>
      <w:r w:rsidR="00C95546" w:rsidRPr="00C95546">
        <w:t xml:space="preserve">However, more recently, employment growth has </w:t>
      </w:r>
      <w:r w:rsidR="00FA4259">
        <w:t>improved</w:t>
      </w:r>
      <w:r w:rsidR="00C95546" w:rsidRPr="00C95546">
        <w:t>, r</w:t>
      </w:r>
      <w:r w:rsidR="004B58E0">
        <w:t>ising by a solid 214,900 (or 1.9</w:t>
      </w:r>
      <w:r w:rsidR="00C95546" w:rsidRPr="00C95546">
        <w:t xml:space="preserve"> per cent) over the year to </w:t>
      </w:r>
      <w:r w:rsidR="00F56F66">
        <w:t>June</w:t>
      </w:r>
      <w:r w:rsidR="00C95546" w:rsidRPr="00C95546">
        <w:t xml:space="preserve"> 2015.</w:t>
      </w:r>
    </w:p>
    <w:p w:rsidR="00455DA3" w:rsidRPr="00480C42" w:rsidRDefault="00455DA3" w:rsidP="00455DA3">
      <w:pPr>
        <w:jc w:val="both"/>
      </w:pPr>
      <w:r w:rsidRPr="00480C42">
        <w:t>Over the past five years, employment growth in the Australian economy has been spread across a number of industries and occupational groups, with a handful of services (particularly Health Care and Social Assistance</w:t>
      </w:r>
      <w:r w:rsidR="00480C42" w:rsidRPr="00480C42">
        <w:t xml:space="preserve"> and Professional Scientific and Technical Services</w:t>
      </w:r>
      <w:r w:rsidRPr="00480C42">
        <w:t xml:space="preserve">) </w:t>
      </w:r>
      <w:r w:rsidR="008655F8">
        <w:t xml:space="preserve">making </w:t>
      </w:r>
      <w:r w:rsidRPr="00480C42">
        <w:t xml:space="preserve">particularly substantial contributions to employment growth. That said, employment growth has been </w:t>
      </w:r>
      <w:r w:rsidR="00BD2EC2" w:rsidRPr="00480C42">
        <w:t>offset</w:t>
      </w:r>
      <w:r w:rsidRPr="00480C42">
        <w:t xml:space="preserve"> by falls in employment in Manufacturing (down by </w:t>
      </w:r>
      <w:r w:rsidR="00480C42" w:rsidRPr="00480C42">
        <w:t>58,500 or 6.0</w:t>
      </w:r>
      <w:r w:rsidRPr="00480C42">
        <w:t xml:space="preserve"> per cent) and</w:t>
      </w:r>
      <w:r w:rsidR="00BD2EC2" w:rsidRPr="00480C42">
        <w:t xml:space="preserve"> Agriculture</w:t>
      </w:r>
      <w:r w:rsidR="00D23606" w:rsidRPr="00480C42">
        <w:t>, Forestry and Fishing</w:t>
      </w:r>
      <w:r w:rsidR="00BD2EC2" w:rsidRPr="00480C42">
        <w:t xml:space="preserve"> (</w:t>
      </w:r>
      <w:r w:rsidR="00480C42" w:rsidRPr="00480C42">
        <w:t>53,900</w:t>
      </w:r>
      <w:r w:rsidR="00BD2EC2" w:rsidRPr="00480C42">
        <w:t xml:space="preserve"> or </w:t>
      </w:r>
      <w:r w:rsidR="00480C42" w:rsidRPr="00480C42">
        <w:t>15.1</w:t>
      </w:r>
      <w:r w:rsidR="00BD2EC2" w:rsidRPr="00480C42">
        <w:t> per </w:t>
      </w:r>
      <w:r w:rsidR="00480C42" w:rsidRPr="00480C42">
        <w:t xml:space="preserve">cent), while the previous strong employment growth in Mining has </w:t>
      </w:r>
      <w:r w:rsidR="00C06A3A">
        <w:t xml:space="preserve">ended </w:t>
      </w:r>
      <w:r w:rsidR="004B1404">
        <w:t xml:space="preserve">with </w:t>
      </w:r>
      <w:r w:rsidR="00C06A3A">
        <w:t xml:space="preserve">employment </w:t>
      </w:r>
      <w:r w:rsidR="004B1404">
        <w:t>in the industry declining in recent years</w:t>
      </w:r>
      <w:r w:rsidR="00480C42" w:rsidRPr="00480C42">
        <w:t>.</w:t>
      </w:r>
    </w:p>
    <w:p w:rsidR="00455DA3" w:rsidRPr="00C95546" w:rsidRDefault="00480C42" w:rsidP="00455DA3">
      <w:pPr>
        <w:jc w:val="both"/>
      </w:pPr>
      <w:r>
        <w:rPr>
          <w:iCs/>
        </w:rPr>
        <w:t>Looking ahead, b</w:t>
      </w:r>
      <w:r w:rsidR="00455DA3" w:rsidRPr="00C95546">
        <w:rPr>
          <w:iCs/>
        </w:rPr>
        <w:t xml:space="preserve">ased on the </w:t>
      </w:r>
      <w:r w:rsidR="00455DA3" w:rsidRPr="00C95546">
        <w:t>employment forecasts and projections published in the December 201</w:t>
      </w:r>
      <w:r w:rsidR="00C95546" w:rsidRPr="00C95546">
        <w:t>4</w:t>
      </w:r>
      <w:r w:rsidR="00455DA3" w:rsidRPr="00C95546">
        <w:t xml:space="preserve"> Mid-Year Economic and Fiscal Outlook (MYEFO),</w:t>
      </w:r>
      <w:r w:rsidR="00455DA3" w:rsidRPr="00C95546">
        <w:rPr>
          <w:iCs/>
        </w:rPr>
        <w:t xml:space="preserve"> total employment is projected to </w:t>
      </w:r>
      <w:r w:rsidR="00E449D8" w:rsidRPr="00C95546">
        <w:rPr>
          <w:iCs/>
        </w:rPr>
        <w:t>increase</w:t>
      </w:r>
      <w:r w:rsidR="00455DA3" w:rsidRPr="00C95546">
        <w:rPr>
          <w:iCs/>
        </w:rPr>
        <w:t xml:space="preserve"> by </w:t>
      </w:r>
      <w:r w:rsidR="00C95546" w:rsidRPr="00C95546">
        <w:rPr>
          <w:iCs/>
        </w:rPr>
        <w:t>1,166,4</w:t>
      </w:r>
      <w:r w:rsidR="00455DA3" w:rsidRPr="00C95546">
        <w:rPr>
          <w:iCs/>
        </w:rPr>
        <w:t>00 (</w:t>
      </w:r>
      <w:r w:rsidR="00E449D8" w:rsidRPr="00C95546">
        <w:rPr>
          <w:iCs/>
        </w:rPr>
        <w:t xml:space="preserve">or </w:t>
      </w:r>
      <w:r w:rsidR="00C95546" w:rsidRPr="00C95546">
        <w:rPr>
          <w:iCs/>
        </w:rPr>
        <w:t>10.0</w:t>
      </w:r>
      <w:r w:rsidR="00455DA3" w:rsidRPr="00C95546">
        <w:rPr>
          <w:iCs/>
        </w:rPr>
        <w:t xml:space="preserve"> per cent)</w:t>
      </w:r>
      <w:r w:rsidR="00455DA3" w:rsidRPr="00C95546">
        <w:rPr>
          <w:rStyle w:val="FootnoteReference"/>
        </w:rPr>
        <w:footnoteReference w:id="2"/>
      </w:r>
      <w:r w:rsidR="00455DA3" w:rsidRPr="00C95546">
        <w:rPr>
          <w:iCs/>
        </w:rPr>
        <w:t xml:space="preserve"> </w:t>
      </w:r>
      <w:r w:rsidR="00E449D8" w:rsidRPr="00C95546">
        <w:rPr>
          <w:iCs/>
        </w:rPr>
        <w:t>over the five years to November 201</w:t>
      </w:r>
      <w:r w:rsidR="00C95546" w:rsidRPr="00C95546">
        <w:rPr>
          <w:iCs/>
        </w:rPr>
        <w:t>9</w:t>
      </w:r>
      <w:r w:rsidR="00E449D8" w:rsidRPr="00C95546">
        <w:rPr>
          <w:iCs/>
        </w:rPr>
        <w:t xml:space="preserve"> </w:t>
      </w:r>
      <w:r w:rsidR="00455DA3" w:rsidRPr="00C95546">
        <w:rPr>
          <w:iCs/>
        </w:rPr>
        <w:t xml:space="preserve">to </w:t>
      </w:r>
      <w:r w:rsidR="00BD2EC2" w:rsidRPr="00C95546">
        <w:rPr>
          <w:iCs/>
        </w:rPr>
        <w:t>reach</w:t>
      </w:r>
      <w:r w:rsidR="00455DA3" w:rsidRPr="00C95546">
        <w:rPr>
          <w:iCs/>
        </w:rPr>
        <w:t xml:space="preserve"> 12,</w:t>
      </w:r>
      <w:r w:rsidR="00C95546" w:rsidRPr="00C95546">
        <w:rPr>
          <w:iCs/>
        </w:rPr>
        <w:t>776,5</w:t>
      </w:r>
      <w:r w:rsidR="00455DA3" w:rsidRPr="00C95546">
        <w:rPr>
          <w:iCs/>
        </w:rPr>
        <w:t>00. However, the distribution of this growth is projected to vary across industries, occupations,</w:t>
      </w:r>
      <w:r w:rsidR="00BD2EC2" w:rsidRPr="00C95546">
        <w:rPr>
          <w:iCs/>
        </w:rPr>
        <w:t xml:space="preserve"> skill level</w:t>
      </w:r>
      <w:r w:rsidR="00455DA3" w:rsidRPr="00C95546">
        <w:rPr>
          <w:iCs/>
        </w:rPr>
        <w:t xml:space="preserve">s, </w:t>
      </w:r>
      <w:r w:rsidR="00455DA3" w:rsidRPr="00C95546">
        <w:t xml:space="preserve">states and territories, and regions. This report outlines the employment outlook across these </w:t>
      </w:r>
      <w:r w:rsidR="001C2CC0" w:rsidRPr="00C95546">
        <w:t>categories</w:t>
      </w:r>
      <w:r w:rsidR="00455DA3" w:rsidRPr="00C95546">
        <w:t>, based on employment projections produced by the Department of Employment for the period November 201</w:t>
      </w:r>
      <w:r w:rsidR="00C95546" w:rsidRPr="00C95546">
        <w:t>4</w:t>
      </w:r>
      <w:r w:rsidR="00455DA3" w:rsidRPr="00C95546">
        <w:t xml:space="preserve"> to November 201</w:t>
      </w:r>
      <w:r w:rsidR="00C95546" w:rsidRPr="00C95546">
        <w:t>9</w:t>
      </w:r>
      <w:r w:rsidR="00455DA3" w:rsidRPr="00C95546">
        <w:t xml:space="preserve">. </w:t>
      </w:r>
    </w:p>
    <w:p w:rsidR="00C95546" w:rsidRPr="00E661D8" w:rsidRDefault="00455DA3" w:rsidP="00E661D8">
      <w:pPr>
        <w:spacing w:after="0"/>
        <w:rPr>
          <w:b/>
          <w:iCs/>
        </w:rPr>
      </w:pPr>
      <w:r w:rsidRPr="00E661D8">
        <w:rPr>
          <w:rStyle w:val="SubtleEmphasis"/>
          <w:b/>
          <w:i w:val="0"/>
          <w:color w:val="auto"/>
        </w:rPr>
        <w:t>Figure 1: Employment level, past and projected growth to November 201</w:t>
      </w:r>
      <w:r w:rsidR="00C95546" w:rsidRPr="00E661D8">
        <w:rPr>
          <w:rStyle w:val="SubtleEmphasis"/>
          <w:b/>
          <w:i w:val="0"/>
          <w:color w:val="auto"/>
        </w:rPr>
        <w:t>9</w:t>
      </w:r>
      <w:r w:rsidRPr="00E661D8">
        <w:rPr>
          <w:rStyle w:val="SubtleEmphasis"/>
          <w:b/>
          <w:i w:val="0"/>
          <w:color w:val="auto"/>
        </w:rPr>
        <w:t>, Australia (‘000)</w:t>
      </w:r>
    </w:p>
    <w:p w:rsidR="00E661D8" w:rsidRPr="00C95546" w:rsidRDefault="00A1743E" w:rsidP="004B58E0">
      <w:pPr>
        <w:spacing w:before="120"/>
        <w:jc w:val="center"/>
        <w:rPr>
          <w:highlight w:val="yellow"/>
        </w:rPr>
      </w:pPr>
      <w:r>
        <w:rPr>
          <w:noProof/>
          <w:lang w:eastAsia="en-AU"/>
        </w:rPr>
        <w:drawing>
          <wp:inline distT="0" distB="0" distL="0" distR="0" wp14:anchorId="7AF58807">
            <wp:extent cx="5972175" cy="4100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4100761"/>
                    </a:xfrm>
                    <a:prstGeom prst="rect">
                      <a:avLst/>
                    </a:prstGeom>
                    <a:noFill/>
                  </pic:spPr>
                </pic:pic>
              </a:graphicData>
            </a:graphic>
          </wp:inline>
        </w:drawing>
      </w:r>
    </w:p>
    <w:p w:rsidR="00455DA3" w:rsidRPr="00F71E6D" w:rsidRDefault="00455DA3" w:rsidP="00455DA3">
      <w:pPr>
        <w:pStyle w:val="Heading1"/>
        <w:keepNext w:val="0"/>
        <w:spacing w:before="0" w:after="240" w:line="240" w:lineRule="auto"/>
        <w:contextualSpacing/>
        <w:rPr>
          <w:rFonts w:ascii="Calibri" w:eastAsiaTheme="majorEastAsia" w:hAnsi="Calibri" w:cstheme="majorBidi"/>
          <w:color w:val="003D6B"/>
          <w:sz w:val="36"/>
          <w:szCs w:val="36"/>
        </w:rPr>
      </w:pPr>
      <w:bookmarkStart w:id="10" w:name="_Toc425756967"/>
      <w:r w:rsidRPr="00F71E6D">
        <w:rPr>
          <w:rFonts w:ascii="Calibri" w:eastAsiaTheme="majorEastAsia" w:hAnsi="Calibri" w:cstheme="majorBidi"/>
          <w:color w:val="003D6B"/>
          <w:sz w:val="36"/>
          <w:szCs w:val="36"/>
        </w:rPr>
        <w:lastRenderedPageBreak/>
        <w:t>Projected employment growth by industry</w:t>
      </w:r>
      <w:bookmarkEnd w:id="10"/>
    </w:p>
    <w:p w:rsidR="00F71E6D" w:rsidRPr="00572430" w:rsidRDefault="00455DA3" w:rsidP="00455DA3">
      <w:pPr>
        <w:jc w:val="both"/>
        <w:rPr>
          <w:rStyle w:val="SubtleEmphasis"/>
          <w:i w:val="0"/>
          <w:color w:val="auto"/>
        </w:rPr>
      </w:pPr>
      <w:r w:rsidRPr="00F71E6D">
        <w:rPr>
          <w:rStyle w:val="SubtleEmphasis"/>
          <w:i w:val="0"/>
          <w:color w:val="auto"/>
        </w:rPr>
        <w:t>Over the five years to Nove</w:t>
      </w:r>
      <w:r w:rsidR="00250D6D" w:rsidRPr="00F71E6D">
        <w:rPr>
          <w:rStyle w:val="SubtleEmphasis"/>
          <w:i w:val="0"/>
          <w:color w:val="auto"/>
        </w:rPr>
        <w:t>mber 2019</w:t>
      </w:r>
      <w:r w:rsidRPr="00F71E6D">
        <w:rPr>
          <w:rStyle w:val="SubtleEmphasis"/>
          <w:i w:val="0"/>
          <w:color w:val="auto"/>
        </w:rPr>
        <w:t xml:space="preserve">, employment is projected to increase in </w:t>
      </w:r>
      <w:r w:rsidR="00250D6D" w:rsidRPr="00F71E6D">
        <w:rPr>
          <w:rStyle w:val="SubtleEmphasis"/>
          <w:i w:val="0"/>
          <w:color w:val="auto"/>
        </w:rPr>
        <w:t>17</w:t>
      </w:r>
      <w:r w:rsidR="00015675" w:rsidRPr="00F71E6D">
        <w:rPr>
          <w:rStyle w:val="SubtleEmphasis"/>
          <w:i w:val="0"/>
          <w:color w:val="auto"/>
        </w:rPr>
        <w:t xml:space="preserve"> of the </w:t>
      </w:r>
      <w:r w:rsidRPr="00F71E6D">
        <w:rPr>
          <w:rStyle w:val="SubtleEmphasis"/>
          <w:i w:val="0"/>
          <w:color w:val="auto"/>
        </w:rPr>
        <w:t xml:space="preserve">19 broad industry groups, </w:t>
      </w:r>
      <w:r w:rsidR="00015675" w:rsidRPr="00F71E6D">
        <w:rPr>
          <w:rStyle w:val="SubtleEmphasis"/>
          <w:i w:val="0"/>
          <w:color w:val="auto"/>
        </w:rPr>
        <w:t xml:space="preserve">with declines in employment </w:t>
      </w:r>
      <w:r w:rsidR="00250D6D" w:rsidRPr="00F71E6D">
        <w:rPr>
          <w:rStyle w:val="SubtleEmphasis"/>
          <w:i w:val="0"/>
          <w:color w:val="auto"/>
        </w:rPr>
        <w:t xml:space="preserve">only </w:t>
      </w:r>
      <w:r w:rsidR="00015675" w:rsidRPr="00F71E6D">
        <w:rPr>
          <w:rStyle w:val="SubtleEmphasis"/>
          <w:i w:val="0"/>
          <w:color w:val="auto"/>
        </w:rPr>
        <w:t xml:space="preserve">projected for Mining and </w:t>
      </w:r>
      <w:r w:rsidR="00250D6D" w:rsidRPr="00F71E6D">
        <w:rPr>
          <w:rStyle w:val="SubtleEmphasis"/>
          <w:i w:val="0"/>
          <w:color w:val="auto"/>
        </w:rPr>
        <w:t>Manufacturing</w:t>
      </w:r>
      <w:r w:rsidRPr="00F71E6D">
        <w:rPr>
          <w:rStyle w:val="SubtleEmphasis"/>
          <w:i w:val="0"/>
          <w:color w:val="auto"/>
        </w:rPr>
        <w:t xml:space="preserve">. </w:t>
      </w:r>
      <w:r w:rsidR="00015675" w:rsidRPr="00F71E6D">
        <w:rPr>
          <w:rStyle w:val="SubtleEmphasis"/>
          <w:i w:val="0"/>
          <w:color w:val="auto"/>
        </w:rPr>
        <w:t>Health Care and Social Assistance is projected to make the largest contribution to e</w:t>
      </w:r>
      <w:r w:rsidR="00250D6D" w:rsidRPr="00F71E6D">
        <w:rPr>
          <w:rStyle w:val="SubtleEmphasis"/>
          <w:i w:val="0"/>
          <w:color w:val="auto"/>
        </w:rPr>
        <w:t>mployment growth (up by 258,0</w:t>
      </w:r>
      <w:r w:rsidR="00E449D8" w:rsidRPr="00F71E6D">
        <w:rPr>
          <w:rStyle w:val="SubtleEmphasis"/>
          <w:i w:val="0"/>
          <w:color w:val="auto"/>
        </w:rPr>
        <w:t>00</w:t>
      </w:r>
      <w:r w:rsidR="004B1404">
        <w:rPr>
          <w:rStyle w:val="SubtleEmphasis"/>
          <w:i w:val="0"/>
          <w:color w:val="auto"/>
        </w:rPr>
        <w:t xml:space="preserve"> or 18.7 per </w:t>
      </w:r>
      <w:r w:rsidR="00250D6D" w:rsidRPr="00F71E6D">
        <w:rPr>
          <w:rStyle w:val="SubtleEmphasis"/>
          <w:i w:val="0"/>
          <w:color w:val="auto"/>
        </w:rPr>
        <w:t>cent)</w:t>
      </w:r>
      <w:r w:rsidR="00F71E6D" w:rsidRPr="00F71E6D">
        <w:rPr>
          <w:rStyle w:val="SubtleEmphasis"/>
          <w:i w:val="0"/>
          <w:color w:val="auto"/>
        </w:rPr>
        <w:t xml:space="preserve">, followed by </w:t>
      </w:r>
      <w:r w:rsidR="00250D6D" w:rsidRPr="00F71E6D">
        <w:rPr>
          <w:rStyle w:val="SubtleEmphasis"/>
          <w:i w:val="0"/>
          <w:color w:val="auto"/>
        </w:rPr>
        <w:t>Education and Training (142,700 or 15.</w:t>
      </w:r>
      <w:r w:rsidR="00250D6D" w:rsidRPr="00572430">
        <w:rPr>
          <w:rStyle w:val="SubtleEmphasis"/>
          <w:i w:val="0"/>
          <w:color w:val="auto"/>
        </w:rPr>
        <w:t>6</w:t>
      </w:r>
      <w:r w:rsidR="00015675" w:rsidRPr="00572430">
        <w:rPr>
          <w:rStyle w:val="SubtleEmphasis"/>
          <w:i w:val="0"/>
          <w:color w:val="auto"/>
        </w:rPr>
        <w:t> per ce</w:t>
      </w:r>
      <w:r w:rsidR="00E449D8" w:rsidRPr="00572430">
        <w:rPr>
          <w:rStyle w:val="SubtleEmphasis"/>
          <w:i w:val="0"/>
          <w:color w:val="auto"/>
        </w:rPr>
        <w:t xml:space="preserve">nt), </w:t>
      </w:r>
      <w:r w:rsidR="00250D6D" w:rsidRPr="00572430">
        <w:rPr>
          <w:rStyle w:val="SubtleEmphasis"/>
          <w:i w:val="0"/>
          <w:color w:val="auto"/>
        </w:rPr>
        <w:t xml:space="preserve">Construction </w:t>
      </w:r>
      <w:r w:rsidR="00E449D8" w:rsidRPr="00572430">
        <w:rPr>
          <w:rStyle w:val="SubtleEmphasis"/>
          <w:i w:val="0"/>
          <w:color w:val="auto"/>
        </w:rPr>
        <w:t>(</w:t>
      </w:r>
      <w:r w:rsidR="00250D6D" w:rsidRPr="00572430">
        <w:rPr>
          <w:rStyle w:val="SubtleEmphasis"/>
          <w:i w:val="0"/>
          <w:color w:val="auto"/>
        </w:rPr>
        <w:t>137,900</w:t>
      </w:r>
      <w:r w:rsidR="00015675" w:rsidRPr="00572430">
        <w:rPr>
          <w:rStyle w:val="SubtleEmphasis"/>
          <w:i w:val="0"/>
          <w:color w:val="auto"/>
        </w:rPr>
        <w:t xml:space="preserve"> or </w:t>
      </w:r>
      <w:r w:rsidR="00250D6D" w:rsidRPr="00572430">
        <w:rPr>
          <w:rStyle w:val="SubtleEmphasis"/>
          <w:i w:val="0"/>
          <w:color w:val="auto"/>
        </w:rPr>
        <w:t>13.0</w:t>
      </w:r>
      <w:r w:rsidR="004B1404">
        <w:rPr>
          <w:rStyle w:val="SubtleEmphasis"/>
          <w:i w:val="0"/>
          <w:color w:val="auto"/>
        </w:rPr>
        <w:t> per </w:t>
      </w:r>
      <w:r w:rsidR="00015675" w:rsidRPr="00572430">
        <w:rPr>
          <w:rStyle w:val="SubtleEmphasis"/>
          <w:i w:val="0"/>
          <w:color w:val="auto"/>
        </w:rPr>
        <w:t xml:space="preserve">cent), </w:t>
      </w:r>
      <w:r w:rsidR="00572430" w:rsidRPr="00572430">
        <w:rPr>
          <w:rStyle w:val="SubtleEmphasis"/>
          <w:i w:val="0"/>
          <w:color w:val="auto"/>
        </w:rPr>
        <w:t xml:space="preserve">and </w:t>
      </w:r>
      <w:r w:rsidR="00015675" w:rsidRPr="00572430">
        <w:rPr>
          <w:rStyle w:val="SubtleEmphasis"/>
          <w:i w:val="0"/>
          <w:color w:val="auto"/>
        </w:rPr>
        <w:t>Professional, Scientific and T</w:t>
      </w:r>
      <w:r w:rsidR="00E449D8" w:rsidRPr="00572430">
        <w:rPr>
          <w:rStyle w:val="SubtleEmphasis"/>
          <w:i w:val="0"/>
          <w:color w:val="auto"/>
        </w:rPr>
        <w:t>echnical Services (</w:t>
      </w:r>
      <w:r w:rsidR="00250D6D" w:rsidRPr="00572430">
        <w:rPr>
          <w:rStyle w:val="SubtleEmphasis"/>
          <w:i w:val="0"/>
          <w:color w:val="auto"/>
        </w:rPr>
        <w:t>136,600 or 14.4</w:t>
      </w:r>
      <w:r w:rsidR="00015675" w:rsidRPr="00572430">
        <w:rPr>
          <w:rStyle w:val="SubtleEmphasis"/>
          <w:i w:val="0"/>
          <w:color w:val="auto"/>
        </w:rPr>
        <w:t xml:space="preserve"> per cent). Together, these </w:t>
      </w:r>
      <w:r w:rsidR="008655F8">
        <w:rPr>
          <w:rStyle w:val="SubtleEmphasis"/>
          <w:i w:val="0"/>
          <w:color w:val="auto"/>
        </w:rPr>
        <w:t xml:space="preserve">four </w:t>
      </w:r>
      <w:r w:rsidR="00015675" w:rsidRPr="00572430">
        <w:rPr>
          <w:rStyle w:val="SubtleEmphasis"/>
          <w:i w:val="0"/>
          <w:color w:val="auto"/>
        </w:rPr>
        <w:t xml:space="preserve">industries are projected to provide </w:t>
      </w:r>
      <w:r w:rsidR="00572430" w:rsidRPr="00572430">
        <w:rPr>
          <w:rStyle w:val="SubtleEmphasis"/>
          <w:i w:val="0"/>
          <w:color w:val="auto"/>
        </w:rPr>
        <w:t xml:space="preserve">more than half </w:t>
      </w:r>
      <w:r w:rsidR="00015675" w:rsidRPr="00572430">
        <w:rPr>
          <w:rStyle w:val="SubtleEmphasis"/>
          <w:i w:val="0"/>
          <w:color w:val="auto"/>
        </w:rPr>
        <w:t>of the em</w:t>
      </w:r>
      <w:r w:rsidR="00F71E6D" w:rsidRPr="00572430">
        <w:rPr>
          <w:rStyle w:val="SubtleEmphasis"/>
          <w:i w:val="0"/>
          <w:color w:val="auto"/>
        </w:rPr>
        <w:t>ployment growth to November 2019</w:t>
      </w:r>
      <w:r w:rsidR="00015675" w:rsidRPr="00572430">
        <w:rPr>
          <w:rStyle w:val="SubtleEmphasis"/>
          <w:i w:val="0"/>
          <w:color w:val="auto"/>
        </w:rPr>
        <w:t>.</w:t>
      </w:r>
      <w:r w:rsidR="002F70B4" w:rsidRPr="00572430">
        <w:rPr>
          <w:rStyle w:val="SubtleEmphasis"/>
          <w:i w:val="0"/>
          <w:color w:val="auto"/>
        </w:rPr>
        <w:t xml:space="preserve"> </w:t>
      </w:r>
    </w:p>
    <w:p w:rsidR="002F70B4" w:rsidRPr="0003043E" w:rsidRDefault="002F70B4" w:rsidP="00455DA3">
      <w:pPr>
        <w:jc w:val="both"/>
        <w:rPr>
          <w:iCs/>
          <w:highlight w:val="yellow"/>
        </w:rPr>
      </w:pPr>
      <w:r w:rsidRPr="00572430">
        <w:rPr>
          <w:rStyle w:val="SubtleEmphasis"/>
          <w:i w:val="0"/>
          <w:color w:val="auto"/>
        </w:rPr>
        <w:t xml:space="preserve">By contrast, </w:t>
      </w:r>
      <w:r w:rsidR="007B34E5" w:rsidRPr="00572430">
        <w:rPr>
          <w:rFonts w:ascii="Calibri" w:hAnsi="Calibri" w:cs="Calibri"/>
        </w:rPr>
        <w:t>against the backdrop of an expected peak in capital expenditure and the transition of new mines from a construction phase to a less labour intensive operational phase</w:t>
      </w:r>
      <w:r w:rsidR="007B34E5" w:rsidRPr="00572430">
        <w:rPr>
          <w:rStyle w:val="SubtleEmphasis"/>
          <w:i w:val="0"/>
          <w:color w:val="auto"/>
        </w:rPr>
        <w:t xml:space="preserve">, </w:t>
      </w:r>
      <w:r w:rsidR="00F71E6D" w:rsidRPr="00572430">
        <w:rPr>
          <w:rStyle w:val="SubtleEmphasis"/>
          <w:i w:val="0"/>
          <w:color w:val="auto"/>
        </w:rPr>
        <w:t>employment in Mining is projected to decline by 40,700 (or 17.8 per cent)</w:t>
      </w:r>
      <w:r w:rsidR="007B34E5" w:rsidRPr="00572430">
        <w:rPr>
          <w:rStyle w:val="SubtleEmphasis"/>
          <w:i w:val="0"/>
          <w:color w:val="auto"/>
        </w:rPr>
        <w:t xml:space="preserve"> over the five years to November 2019</w:t>
      </w:r>
      <w:r w:rsidR="00F71E6D" w:rsidRPr="00572430">
        <w:rPr>
          <w:rFonts w:ascii="Calibri" w:hAnsi="Calibri" w:cs="Calibri"/>
        </w:rPr>
        <w:t xml:space="preserve">. </w:t>
      </w:r>
      <w:r w:rsidR="007B34E5" w:rsidRPr="00572430">
        <w:rPr>
          <w:rStyle w:val="SubtleEmphasis"/>
          <w:i w:val="0"/>
          <w:color w:val="auto"/>
        </w:rPr>
        <w:t xml:space="preserve">In line with </w:t>
      </w:r>
      <w:r w:rsidR="004B1404">
        <w:rPr>
          <w:rStyle w:val="SubtleEmphasis"/>
          <w:i w:val="0"/>
          <w:color w:val="auto"/>
        </w:rPr>
        <w:t xml:space="preserve">the </w:t>
      </w:r>
      <w:r w:rsidR="007B34E5" w:rsidRPr="00572430">
        <w:rPr>
          <w:rStyle w:val="SubtleEmphasis"/>
          <w:i w:val="0"/>
          <w:color w:val="auto"/>
        </w:rPr>
        <w:t xml:space="preserve">long term structural change in the labour market and the </w:t>
      </w:r>
      <w:r w:rsidR="007B34E5" w:rsidRPr="00572430">
        <w:rPr>
          <w:rFonts w:cstheme="minorHAnsi"/>
        </w:rPr>
        <w:t xml:space="preserve">announced plant closures by </w:t>
      </w:r>
      <w:r w:rsidR="004B1404">
        <w:rPr>
          <w:rFonts w:ascii="Calibri" w:hAnsi="Calibri" w:cs="Calibri"/>
        </w:rPr>
        <w:t>major car manufacturers</w:t>
      </w:r>
      <w:r w:rsidR="007B34E5" w:rsidRPr="00572430">
        <w:rPr>
          <w:rFonts w:ascii="Calibri" w:hAnsi="Calibri" w:cs="Calibri"/>
        </w:rPr>
        <w:t>,</w:t>
      </w:r>
      <w:r w:rsidR="007B34E5" w:rsidRPr="00572430">
        <w:rPr>
          <w:rStyle w:val="SubtleEmphasis"/>
          <w:i w:val="0"/>
          <w:color w:val="auto"/>
        </w:rPr>
        <w:t xml:space="preserve"> e</w:t>
      </w:r>
      <w:r w:rsidRPr="00572430">
        <w:rPr>
          <w:rStyle w:val="SubtleEmphasis"/>
          <w:i w:val="0"/>
          <w:color w:val="auto"/>
        </w:rPr>
        <w:t xml:space="preserve">mployment in Manufacturing is projected to decline by </w:t>
      </w:r>
      <w:r w:rsidR="00F71E6D" w:rsidRPr="00572430">
        <w:rPr>
          <w:rFonts w:ascii="Calibri" w:hAnsi="Calibri" w:cs="Calibri"/>
        </w:rPr>
        <w:t>26,200 (or 2.9</w:t>
      </w:r>
      <w:r w:rsidRPr="00572430">
        <w:rPr>
          <w:rFonts w:ascii="Calibri" w:hAnsi="Calibri" w:cs="Calibri"/>
        </w:rPr>
        <w:t xml:space="preserve"> per cent) over </w:t>
      </w:r>
      <w:r w:rsidR="007B34E5" w:rsidRPr="00572430">
        <w:rPr>
          <w:rFonts w:ascii="Calibri" w:hAnsi="Calibri" w:cs="Calibri"/>
        </w:rPr>
        <w:t>this period</w:t>
      </w:r>
      <w:r w:rsidR="00F813C3" w:rsidRPr="00572430">
        <w:rPr>
          <w:rFonts w:ascii="Calibri" w:hAnsi="Calibri" w:cs="Calibri"/>
        </w:rPr>
        <w:t>.</w:t>
      </w:r>
      <w:r w:rsidR="00F813C3" w:rsidRPr="00F71E6D">
        <w:rPr>
          <w:rStyle w:val="SubtleEmphasis"/>
          <w:i w:val="0"/>
          <w:color w:val="auto"/>
        </w:rPr>
        <w:t xml:space="preserve"> </w:t>
      </w:r>
    </w:p>
    <w:p w:rsidR="00455DA3" w:rsidRPr="00F71E6D" w:rsidRDefault="00455DA3" w:rsidP="00455DA3">
      <w:pPr>
        <w:spacing w:after="0"/>
        <w:jc w:val="both"/>
        <w:rPr>
          <w:rStyle w:val="SubtleEmphasis"/>
          <w:b/>
          <w:i w:val="0"/>
          <w:color w:val="auto"/>
        </w:rPr>
      </w:pPr>
      <w:r w:rsidRPr="00F71E6D">
        <w:rPr>
          <w:rStyle w:val="SubtleEmphasis"/>
          <w:b/>
          <w:i w:val="0"/>
          <w:color w:val="auto"/>
        </w:rPr>
        <w:t>Figure 2: Projected employment growth by industry</w:t>
      </w:r>
      <w:r w:rsidR="00F71E6D" w:rsidRPr="00F71E6D">
        <w:rPr>
          <w:rStyle w:val="SubtleEmphasis"/>
          <w:b/>
          <w:i w:val="0"/>
          <w:color w:val="auto"/>
        </w:rPr>
        <w:t xml:space="preserve"> – five years to November 2019</w:t>
      </w:r>
      <w:r w:rsidRPr="00F71E6D">
        <w:rPr>
          <w:rStyle w:val="SubtleEmphasis"/>
          <w:b/>
          <w:i w:val="0"/>
          <w:color w:val="auto"/>
        </w:rPr>
        <w:t xml:space="preserve"> (‘000)</w:t>
      </w:r>
    </w:p>
    <w:p w:rsidR="00625A5D" w:rsidRDefault="00250D6D" w:rsidP="00455DA3">
      <w:pPr>
        <w:spacing w:after="0"/>
        <w:jc w:val="both"/>
        <w:rPr>
          <w:rStyle w:val="SubtleEmphasis"/>
          <w:b/>
          <w:i w:val="0"/>
          <w:color w:val="auto"/>
          <w:highlight w:val="yellow"/>
        </w:rPr>
      </w:pPr>
      <w:r>
        <w:rPr>
          <w:b/>
          <w:iCs/>
          <w:noProof/>
          <w:lang w:eastAsia="en-AU"/>
        </w:rPr>
        <w:drawing>
          <wp:inline distT="0" distB="0" distL="0" distR="0" wp14:anchorId="4EE50543">
            <wp:extent cx="6175306" cy="502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4350" cy="5036565"/>
                    </a:xfrm>
                    <a:prstGeom prst="rect">
                      <a:avLst/>
                    </a:prstGeom>
                    <a:noFill/>
                  </pic:spPr>
                </pic:pic>
              </a:graphicData>
            </a:graphic>
          </wp:inline>
        </w:drawing>
      </w:r>
    </w:p>
    <w:p w:rsidR="00625A5D" w:rsidRPr="0003043E" w:rsidRDefault="00625A5D" w:rsidP="00455DA3">
      <w:pPr>
        <w:spacing w:after="0"/>
        <w:jc w:val="both"/>
        <w:rPr>
          <w:rStyle w:val="SubtleEmphasis"/>
          <w:i w:val="0"/>
          <w:color w:val="auto"/>
          <w:highlight w:val="yellow"/>
        </w:rPr>
      </w:pPr>
    </w:p>
    <w:p w:rsidR="005D4615" w:rsidRDefault="005D4615">
      <w:pPr>
        <w:spacing w:after="0" w:line="240" w:lineRule="auto"/>
        <w:rPr>
          <w:rStyle w:val="SubtleEmphasis"/>
          <w:i w:val="0"/>
          <w:color w:val="auto"/>
          <w:highlight w:val="yellow"/>
        </w:rPr>
      </w:pPr>
      <w:r>
        <w:rPr>
          <w:rStyle w:val="SubtleEmphasis"/>
          <w:i w:val="0"/>
          <w:color w:val="auto"/>
          <w:highlight w:val="yellow"/>
        </w:rPr>
        <w:br w:type="page"/>
      </w:r>
    </w:p>
    <w:p w:rsidR="007C298E" w:rsidRPr="00BC4D25" w:rsidRDefault="00455DA3" w:rsidP="00455DA3">
      <w:pPr>
        <w:jc w:val="both"/>
        <w:rPr>
          <w:rStyle w:val="SubtleEmphasis"/>
          <w:i w:val="0"/>
          <w:color w:val="auto"/>
        </w:rPr>
      </w:pPr>
      <w:r w:rsidRPr="00DC4E30">
        <w:rPr>
          <w:rStyle w:val="SubtleEmphasis"/>
          <w:i w:val="0"/>
          <w:color w:val="auto"/>
        </w:rPr>
        <w:lastRenderedPageBreak/>
        <w:t xml:space="preserve">At the more detailed sector level, </w:t>
      </w:r>
      <w:r w:rsidR="0074478C" w:rsidRPr="00BC4D25">
        <w:rPr>
          <w:rStyle w:val="SubtleEmphasis"/>
          <w:i w:val="0"/>
          <w:color w:val="auto"/>
        </w:rPr>
        <w:t>Australia’s largest employing industry sector - Caf</w:t>
      </w:r>
      <w:r w:rsidR="0074478C" w:rsidRPr="00BC4D25">
        <w:rPr>
          <w:rStyle w:val="SubtleEmphasis"/>
          <w:rFonts w:cs="Calibri"/>
          <w:i w:val="0"/>
          <w:color w:val="auto"/>
        </w:rPr>
        <w:t>é</w:t>
      </w:r>
      <w:r w:rsidR="0074478C" w:rsidRPr="00BC4D25">
        <w:rPr>
          <w:rStyle w:val="SubtleEmphasis"/>
          <w:i w:val="0"/>
          <w:color w:val="auto"/>
        </w:rPr>
        <w:t xml:space="preserve">s, Restaurants and Takeaway Food Services - is projected to </w:t>
      </w:r>
      <w:r w:rsidR="0074478C">
        <w:rPr>
          <w:rStyle w:val="SubtleEmphasis"/>
          <w:i w:val="0"/>
          <w:color w:val="auto"/>
        </w:rPr>
        <w:t xml:space="preserve">make the largest contribution </w:t>
      </w:r>
      <w:r w:rsidR="00572430">
        <w:rPr>
          <w:rStyle w:val="SubtleEmphasis"/>
          <w:i w:val="0"/>
          <w:color w:val="auto"/>
        </w:rPr>
        <w:t>to</w:t>
      </w:r>
      <w:r w:rsidR="0074478C">
        <w:rPr>
          <w:rStyle w:val="SubtleEmphasis"/>
          <w:i w:val="0"/>
          <w:color w:val="auto"/>
        </w:rPr>
        <w:t xml:space="preserve"> </w:t>
      </w:r>
      <w:r w:rsidR="0074478C" w:rsidRPr="00BC4D25">
        <w:rPr>
          <w:rStyle w:val="SubtleEmphasis"/>
          <w:i w:val="0"/>
          <w:color w:val="auto"/>
        </w:rPr>
        <w:t xml:space="preserve">growth </w:t>
      </w:r>
      <w:r w:rsidR="008655F8">
        <w:rPr>
          <w:rStyle w:val="SubtleEmphasis"/>
          <w:i w:val="0"/>
          <w:color w:val="auto"/>
        </w:rPr>
        <w:t xml:space="preserve">over </w:t>
      </w:r>
      <w:r w:rsidR="0074478C" w:rsidRPr="00BC4D25">
        <w:rPr>
          <w:rStyle w:val="SubtleEmphasis"/>
          <w:i w:val="0"/>
          <w:color w:val="auto"/>
        </w:rPr>
        <w:t>the five years to November 2019 (up by 93,600 or 16.9 per cent)</w:t>
      </w:r>
      <w:r w:rsidR="0074478C">
        <w:rPr>
          <w:rStyle w:val="SubtleEmphasis"/>
          <w:i w:val="0"/>
          <w:color w:val="auto"/>
        </w:rPr>
        <w:t xml:space="preserve">. </w:t>
      </w:r>
      <w:r w:rsidR="000B22C3">
        <w:rPr>
          <w:rStyle w:val="SubtleEmphasis"/>
          <w:i w:val="0"/>
          <w:color w:val="auto"/>
        </w:rPr>
        <w:t>The t</w:t>
      </w:r>
      <w:r w:rsidRPr="00DC4E30">
        <w:rPr>
          <w:rStyle w:val="SubtleEmphasis"/>
          <w:i w:val="0"/>
          <w:color w:val="auto"/>
        </w:rPr>
        <w:t>op 20 projected growth sectors generally reflect the projections at the broader industry level</w:t>
      </w:r>
      <w:r w:rsidR="00BB039D" w:rsidRPr="00DC4E30">
        <w:rPr>
          <w:rStyle w:val="SubtleEmphasis"/>
          <w:i w:val="0"/>
          <w:color w:val="auto"/>
        </w:rPr>
        <w:t>, with sectors in Health Care and Social Assistance and Education and Training particularly prevalent</w:t>
      </w:r>
      <w:r w:rsidRPr="0029313D">
        <w:rPr>
          <w:rStyle w:val="SubtleEmphasis"/>
          <w:i w:val="0"/>
          <w:color w:val="auto"/>
        </w:rPr>
        <w:t xml:space="preserve">. </w:t>
      </w:r>
      <w:r w:rsidR="0023568E">
        <w:rPr>
          <w:rFonts w:ascii="Calibri" w:hAnsi="Calibri" w:cs="Calibri"/>
        </w:rPr>
        <w:t>A</w:t>
      </w:r>
      <w:r w:rsidR="0023568E" w:rsidRPr="003767DC">
        <w:rPr>
          <w:rFonts w:ascii="Calibri" w:hAnsi="Calibri" w:cs="Calibri"/>
        </w:rPr>
        <w:t>gainst the backdrop of the implementation of the National Disability Insurance Scheme</w:t>
      </w:r>
      <w:r w:rsidR="0023568E">
        <w:rPr>
          <w:rFonts w:ascii="Calibri" w:hAnsi="Calibri" w:cs="Calibri"/>
        </w:rPr>
        <w:t>,</w:t>
      </w:r>
      <w:r w:rsidR="0023568E" w:rsidRPr="003767DC">
        <w:rPr>
          <w:rFonts w:ascii="Calibri" w:hAnsi="Calibri" w:cs="Calibri"/>
        </w:rPr>
        <w:t xml:space="preserve"> Australia’s </w:t>
      </w:r>
      <w:r w:rsidR="0023568E" w:rsidRPr="0023568E">
        <w:rPr>
          <w:rFonts w:ascii="Calibri" w:hAnsi="Calibri" w:cs="Calibri"/>
        </w:rPr>
        <w:t>ageing population</w:t>
      </w:r>
      <w:r w:rsidR="0023568E">
        <w:rPr>
          <w:rFonts w:ascii="Calibri" w:hAnsi="Calibri" w:cs="Calibri"/>
        </w:rPr>
        <w:t xml:space="preserve"> and increased demand for childcare and home based care services,</w:t>
      </w:r>
      <w:r w:rsidR="0023568E" w:rsidRPr="0029313D">
        <w:rPr>
          <w:rStyle w:val="SubtleEmphasis"/>
          <w:i w:val="0"/>
          <w:color w:val="auto"/>
        </w:rPr>
        <w:t xml:space="preserve"> </w:t>
      </w:r>
      <w:r w:rsidR="0023568E">
        <w:rPr>
          <w:rStyle w:val="SubtleEmphasis"/>
          <w:i w:val="0"/>
          <w:color w:val="auto"/>
        </w:rPr>
        <w:t>l</w:t>
      </w:r>
      <w:r w:rsidR="00BC4D25" w:rsidRPr="0029313D">
        <w:rPr>
          <w:rStyle w:val="SubtleEmphasis"/>
          <w:i w:val="0"/>
          <w:color w:val="auto"/>
        </w:rPr>
        <w:t>arge increases in employment are projected for Hospitals</w:t>
      </w:r>
      <w:r w:rsidR="00BC4D25" w:rsidRPr="0074478C">
        <w:rPr>
          <w:rStyle w:val="SubtleEmphasis"/>
          <w:i w:val="0"/>
          <w:color w:val="auto"/>
        </w:rPr>
        <w:t xml:space="preserve"> (up by 53,900 or 15.2 per cent)</w:t>
      </w:r>
      <w:r w:rsidR="0023568E">
        <w:rPr>
          <w:rStyle w:val="SubtleEmphasis"/>
          <w:i w:val="0"/>
          <w:color w:val="auto"/>
        </w:rPr>
        <w:t>,</w:t>
      </w:r>
      <w:r w:rsidR="00BC4D25" w:rsidRPr="0074478C">
        <w:rPr>
          <w:rStyle w:val="SubtleEmphasis"/>
          <w:i w:val="0"/>
          <w:color w:val="auto"/>
        </w:rPr>
        <w:t xml:space="preserve"> Residential Care Services</w:t>
      </w:r>
      <w:r w:rsidR="0074478C" w:rsidRPr="0074478C">
        <w:rPr>
          <w:rStyle w:val="SubtleEmphasis"/>
          <w:i w:val="0"/>
          <w:color w:val="auto"/>
        </w:rPr>
        <w:t xml:space="preserve"> (46,7</w:t>
      </w:r>
      <w:r w:rsidR="00BC4D25" w:rsidRPr="0074478C">
        <w:rPr>
          <w:rStyle w:val="SubtleEmphasis"/>
          <w:i w:val="0"/>
          <w:color w:val="auto"/>
        </w:rPr>
        <w:t xml:space="preserve">00 or </w:t>
      </w:r>
      <w:r w:rsidR="0074478C" w:rsidRPr="003767DC">
        <w:rPr>
          <w:rStyle w:val="SubtleEmphasis"/>
          <w:i w:val="0"/>
          <w:color w:val="auto"/>
        </w:rPr>
        <w:t>21.6</w:t>
      </w:r>
      <w:r w:rsidR="00BC4D25" w:rsidRPr="003767DC">
        <w:rPr>
          <w:rStyle w:val="SubtleEmphasis"/>
          <w:i w:val="0"/>
          <w:color w:val="auto"/>
        </w:rPr>
        <w:t xml:space="preserve"> per cent</w:t>
      </w:r>
      <w:r w:rsidR="0029313D" w:rsidRPr="003767DC">
        <w:rPr>
          <w:rStyle w:val="SubtleEmphasis"/>
          <w:i w:val="0"/>
          <w:color w:val="auto"/>
        </w:rPr>
        <w:t>)</w:t>
      </w:r>
      <w:r w:rsidR="0023568E">
        <w:rPr>
          <w:rStyle w:val="SubtleEmphasis"/>
          <w:i w:val="0"/>
          <w:color w:val="auto"/>
        </w:rPr>
        <w:t xml:space="preserve"> and Child Care Services (37.7 per cent or 27.7 per cent)</w:t>
      </w:r>
      <w:r w:rsidR="00BC4D25" w:rsidRPr="0023568E">
        <w:rPr>
          <w:rStyle w:val="SubtleEmphasis"/>
          <w:i w:val="0"/>
          <w:color w:val="auto"/>
        </w:rPr>
        <w:t xml:space="preserve">. </w:t>
      </w:r>
      <w:r w:rsidR="0074478C" w:rsidRPr="0023568E">
        <w:rPr>
          <w:rFonts w:ascii="Calibri" w:hAnsi="Calibri" w:cs="Calibri"/>
        </w:rPr>
        <w:t>Supported by above average growth in the school aged population and continuing growth in part-time workers in the sector and non-teaching staff,</w:t>
      </w:r>
      <w:r w:rsidR="0074478C" w:rsidRPr="0023568E">
        <w:rPr>
          <w:rStyle w:val="SubtleEmphasis"/>
          <w:i w:val="0"/>
          <w:color w:val="auto"/>
        </w:rPr>
        <w:t xml:space="preserve"> strong growth is projected </w:t>
      </w:r>
      <w:r w:rsidRPr="0023568E">
        <w:rPr>
          <w:rStyle w:val="SubtleEmphasis"/>
          <w:i w:val="0"/>
          <w:color w:val="auto"/>
        </w:rPr>
        <w:t xml:space="preserve">in </w:t>
      </w:r>
      <w:r w:rsidR="007C298E" w:rsidRPr="0023568E">
        <w:rPr>
          <w:rStyle w:val="SubtleEmphasis"/>
          <w:i w:val="0"/>
          <w:color w:val="auto"/>
        </w:rPr>
        <w:t xml:space="preserve">School Education </w:t>
      </w:r>
      <w:r w:rsidR="0074478C" w:rsidRPr="0023568E">
        <w:rPr>
          <w:rStyle w:val="SubtleEmphasis"/>
          <w:i w:val="0"/>
          <w:color w:val="auto"/>
        </w:rPr>
        <w:t>(up</w:t>
      </w:r>
      <w:r w:rsidR="0074478C" w:rsidRPr="0074478C">
        <w:rPr>
          <w:rStyle w:val="SubtleEmphasis"/>
          <w:i w:val="0"/>
          <w:color w:val="auto"/>
        </w:rPr>
        <w:t xml:space="preserve"> by 55,600 or 12.3</w:t>
      </w:r>
      <w:r w:rsidR="007C298E" w:rsidRPr="0074478C">
        <w:rPr>
          <w:rStyle w:val="SubtleEmphasis"/>
          <w:i w:val="0"/>
          <w:color w:val="auto"/>
        </w:rPr>
        <w:t xml:space="preserve"> per cent), </w:t>
      </w:r>
      <w:r w:rsidR="0074478C" w:rsidRPr="0074478C">
        <w:rPr>
          <w:rStyle w:val="SubtleEmphasis"/>
          <w:i w:val="0"/>
          <w:color w:val="auto"/>
        </w:rPr>
        <w:t>Adult, Community and Other Educa</w:t>
      </w:r>
      <w:r w:rsidR="0074478C">
        <w:rPr>
          <w:rStyle w:val="SubtleEmphasis"/>
          <w:i w:val="0"/>
          <w:color w:val="auto"/>
        </w:rPr>
        <w:t>tion (40,600 or 25.8 per cent</w:t>
      </w:r>
      <w:r w:rsidR="0074478C" w:rsidRPr="0074478C">
        <w:rPr>
          <w:rStyle w:val="SubtleEmphasis"/>
          <w:i w:val="0"/>
          <w:color w:val="auto"/>
        </w:rPr>
        <w:t xml:space="preserve">) and Tertiary Education (36,500 or </w:t>
      </w:r>
      <w:r w:rsidR="0074478C">
        <w:rPr>
          <w:rStyle w:val="SubtleEmphasis"/>
          <w:i w:val="0"/>
          <w:color w:val="auto"/>
        </w:rPr>
        <w:t>15.6 per cent</w:t>
      </w:r>
      <w:r w:rsidR="0074478C" w:rsidRPr="0074478C">
        <w:rPr>
          <w:rStyle w:val="SubtleEmphasis"/>
          <w:i w:val="0"/>
          <w:color w:val="auto"/>
        </w:rPr>
        <w:t>)</w:t>
      </w:r>
      <w:r w:rsidR="00F05CEB" w:rsidRPr="0074478C">
        <w:rPr>
          <w:rFonts w:ascii="Calibri" w:hAnsi="Calibri" w:cs="Calibri"/>
        </w:rPr>
        <w:t>.</w:t>
      </w:r>
      <w:r w:rsidR="000B22C3">
        <w:rPr>
          <w:rFonts w:ascii="Calibri" w:hAnsi="Calibri" w:cs="Calibri"/>
        </w:rPr>
        <w:t xml:space="preserve"> </w:t>
      </w:r>
      <w:r w:rsidR="0029313D">
        <w:rPr>
          <w:rFonts w:ascii="Calibri" w:hAnsi="Calibri" w:cs="Calibri"/>
        </w:rPr>
        <w:t xml:space="preserve">Reflecting the </w:t>
      </w:r>
      <w:r w:rsidR="003704B1">
        <w:rPr>
          <w:rFonts w:ascii="Calibri" w:hAnsi="Calibri" w:cs="Calibri"/>
        </w:rPr>
        <w:t xml:space="preserve">large contribution to employment growth </w:t>
      </w:r>
      <w:r w:rsidR="0029313D">
        <w:rPr>
          <w:rFonts w:ascii="Calibri" w:hAnsi="Calibri" w:cs="Calibri"/>
        </w:rPr>
        <w:t xml:space="preserve">projected for the Construction industry, strong growth in employment is projected for </w:t>
      </w:r>
      <w:r w:rsidR="000B22C3">
        <w:rPr>
          <w:rFonts w:ascii="Calibri" w:hAnsi="Calibri" w:cs="Calibri"/>
        </w:rPr>
        <w:t xml:space="preserve">Building Installation Services </w:t>
      </w:r>
      <w:r w:rsidR="0029313D">
        <w:rPr>
          <w:rFonts w:ascii="Calibri" w:hAnsi="Calibri" w:cs="Calibri"/>
        </w:rPr>
        <w:t xml:space="preserve">(50,400 or 20.7 per cent) </w:t>
      </w:r>
      <w:r w:rsidR="000B22C3">
        <w:rPr>
          <w:rFonts w:ascii="Calibri" w:hAnsi="Calibri" w:cs="Calibri"/>
        </w:rPr>
        <w:t>and</w:t>
      </w:r>
      <w:r w:rsidR="0029313D">
        <w:rPr>
          <w:rFonts w:ascii="Calibri" w:hAnsi="Calibri" w:cs="Calibri"/>
        </w:rPr>
        <w:t xml:space="preserve"> Building Completion Services (24,800 or 13.0</w:t>
      </w:r>
      <w:r w:rsidR="003767DC">
        <w:rPr>
          <w:rFonts w:ascii="Calibri" w:hAnsi="Calibri" w:cs="Calibri"/>
        </w:rPr>
        <w:t xml:space="preserve"> per cent</w:t>
      </w:r>
      <w:r w:rsidR="0029313D">
        <w:rPr>
          <w:rFonts w:ascii="Calibri" w:hAnsi="Calibri" w:cs="Calibri"/>
        </w:rPr>
        <w:t>)</w:t>
      </w:r>
      <w:r w:rsidR="000B22C3">
        <w:rPr>
          <w:rFonts w:ascii="Calibri" w:hAnsi="Calibri" w:cs="Calibri"/>
        </w:rPr>
        <w:t xml:space="preserve">. </w:t>
      </w:r>
    </w:p>
    <w:p w:rsidR="00455DA3" w:rsidRPr="000B22C3" w:rsidRDefault="00455DA3" w:rsidP="00455DA3">
      <w:pPr>
        <w:spacing w:after="0"/>
        <w:rPr>
          <w:rStyle w:val="SubtleEmphasis"/>
          <w:b/>
          <w:i w:val="0"/>
          <w:color w:val="auto"/>
        </w:rPr>
      </w:pPr>
      <w:r w:rsidRPr="000B22C3">
        <w:rPr>
          <w:rStyle w:val="SubtleEmphasis"/>
          <w:b/>
          <w:i w:val="0"/>
          <w:color w:val="auto"/>
        </w:rPr>
        <w:t xml:space="preserve">Figure 3: Top </w:t>
      </w:r>
      <w:r w:rsidR="000B22C3" w:rsidRPr="000B22C3">
        <w:rPr>
          <w:rStyle w:val="SubtleEmphasis"/>
          <w:b/>
          <w:i w:val="0"/>
          <w:color w:val="auto"/>
        </w:rPr>
        <w:t>20</w:t>
      </w:r>
      <w:r w:rsidRPr="000B22C3">
        <w:rPr>
          <w:rStyle w:val="SubtleEmphasis"/>
          <w:b/>
          <w:i w:val="0"/>
          <w:color w:val="auto"/>
        </w:rPr>
        <w:t xml:space="preserve"> industry sectors – ranked by p</w:t>
      </w:r>
      <w:r w:rsidR="000B22C3" w:rsidRPr="000B22C3">
        <w:rPr>
          <w:rStyle w:val="SubtleEmphasis"/>
          <w:b/>
          <w:i w:val="0"/>
          <w:color w:val="auto"/>
        </w:rPr>
        <w:t>rojected growth to November 2019</w:t>
      </w:r>
      <w:r w:rsidRPr="000B22C3">
        <w:rPr>
          <w:rStyle w:val="SubtleEmphasis"/>
          <w:b/>
          <w:i w:val="0"/>
          <w:color w:val="auto"/>
        </w:rPr>
        <w:t xml:space="preserve"> (‘000)</w:t>
      </w:r>
    </w:p>
    <w:p w:rsidR="005D4615" w:rsidRPr="0003043E" w:rsidRDefault="008655F8" w:rsidP="00455DA3">
      <w:pPr>
        <w:spacing w:after="0"/>
        <w:rPr>
          <w:b/>
          <w:iCs/>
          <w:highlight w:val="yellow"/>
        </w:rPr>
      </w:pPr>
      <w:r>
        <w:rPr>
          <w:b/>
          <w:iCs/>
          <w:noProof/>
          <w:lang w:eastAsia="en-AU"/>
        </w:rPr>
        <w:drawing>
          <wp:inline distT="0" distB="0" distL="0" distR="0" wp14:anchorId="52FDB6C7">
            <wp:extent cx="6191250" cy="57181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944" cy="5719693"/>
                    </a:xfrm>
                    <a:prstGeom prst="rect">
                      <a:avLst/>
                    </a:prstGeom>
                    <a:noFill/>
                  </pic:spPr>
                </pic:pic>
              </a:graphicData>
            </a:graphic>
          </wp:inline>
        </w:drawing>
      </w:r>
    </w:p>
    <w:p w:rsidR="000567F1" w:rsidRPr="0029313D" w:rsidRDefault="00455DA3" w:rsidP="008D42D7">
      <w:pPr>
        <w:pStyle w:val="NoSpacing"/>
        <w:spacing w:line="276" w:lineRule="auto"/>
        <w:jc w:val="both"/>
        <w:rPr>
          <w:rStyle w:val="CommentReference"/>
          <w:sz w:val="18"/>
        </w:rPr>
      </w:pPr>
      <w:r w:rsidRPr="0029313D">
        <w:rPr>
          <w:rStyle w:val="CommentReference"/>
          <w:i/>
          <w:sz w:val="18"/>
        </w:rPr>
        <w:t xml:space="preserve"> </w:t>
      </w:r>
      <w:r w:rsidR="00E449D8" w:rsidRPr="0029313D">
        <w:rPr>
          <w:rStyle w:val="CommentReference"/>
          <w:sz w:val="18"/>
        </w:rPr>
        <w:t>^</w:t>
      </w:r>
      <w:r w:rsidR="00E449D8" w:rsidRPr="0029313D">
        <w:rPr>
          <w:rStyle w:val="CommentReference"/>
          <w:i/>
          <w:sz w:val="18"/>
        </w:rPr>
        <w:t xml:space="preserve">Allied Health Services </w:t>
      </w:r>
      <w:r w:rsidR="00E449D8" w:rsidRPr="0029313D">
        <w:rPr>
          <w:rStyle w:val="CommentReference"/>
          <w:sz w:val="18"/>
        </w:rPr>
        <w:t xml:space="preserve">includes Dental Services, Optometry and Optical Dispensing, Physiotherapy Services and Chiropractic and Osteopathic Services. </w:t>
      </w:r>
      <w:r w:rsidR="00632683" w:rsidRPr="0029313D">
        <w:rPr>
          <w:rStyle w:val="CommentReference"/>
          <w:sz w:val="18"/>
        </w:rPr>
        <w:t>*</w:t>
      </w:r>
      <w:r w:rsidRPr="0029313D">
        <w:rPr>
          <w:rStyle w:val="CommentReference"/>
          <w:i/>
          <w:sz w:val="18"/>
        </w:rPr>
        <w:t xml:space="preserve">Other </w:t>
      </w:r>
      <w:r w:rsidR="00632683" w:rsidRPr="0029313D">
        <w:rPr>
          <w:rStyle w:val="CommentReference"/>
          <w:i/>
          <w:sz w:val="18"/>
        </w:rPr>
        <w:t>Social Assistance Services</w:t>
      </w:r>
      <w:r w:rsidRPr="0029313D">
        <w:rPr>
          <w:rStyle w:val="CommentReference"/>
          <w:i/>
          <w:sz w:val="18"/>
        </w:rPr>
        <w:t xml:space="preserve"> </w:t>
      </w:r>
      <w:r w:rsidR="000567F1" w:rsidRPr="0029313D">
        <w:rPr>
          <w:rStyle w:val="CommentReference"/>
          <w:sz w:val="18"/>
        </w:rPr>
        <w:t xml:space="preserve">includes Aged Care Assistance Services, Disabilities Assistance Services, Youth Welfare Services and Welfare Counselling Services. </w:t>
      </w:r>
    </w:p>
    <w:p w:rsidR="00455DA3" w:rsidRPr="0003043E" w:rsidRDefault="00E449D8" w:rsidP="00672F11">
      <w:pPr>
        <w:pStyle w:val="NoSpacing"/>
        <w:spacing w:before="120" w:line="276" w:lineRule="auto"/>
        <w:jc w:val="both"/>
        <w:rPr>
          <w:rFonts w:cs="Calibri"/>
          <w:highlight w:val="yellow"/>
        </w:rPr>
      </w:pPr>
      <w:r w:rsidRPr="003B3C31">
        <w:rPr>
          <w:rStyle w:val="SubtleEmphasis"/>
          <w:i w:val="0"/>
          <w:color w:val="auto"/>
        </w:rPr>
        <w:lastRenderedPageBreak/>
        <w:t>A</w:t>
      </w:r>
      <w:r w:rsidR="00455DA3" w:rsidRPr="003B3C31">
        <w:rPr>
          <w:rStyle w:val="SubtleEmphasis"/>
          <w:i w:val="0"/>
          <w:color w:val="auto"/>
        </w:rPr>
        <w:t xml:space="preserve"> number of </w:t>
      </w:r>
      <w:r w:rsidRPr="003B3C31">
        <w:rPr>
          <w:rStyle w:val="SubtleEmphasis"/>
          <w:i w:val="0"/>
          <w:color w:val="auto"/>
        </w:rPr>
        <w:t xml:space="preserve">industry </w:t>
      </w:r>
      <w:r w:rsidR="00455DA3" w:rsidRPr="003B3C31">
        <w:rPr>
          <w:rStyle w:val="SubtleEmphasis"/>
          <w:i w:val="0"/>
          <w:color w:val="auto"/>
        </w:rPr>
        <w:t>sectors are projected to</w:t>
      </w:r>
      <w:r w:rsidR="00672F11" w:rsidRPr="003B3C31">
        <w:rPr>
          <w:rStyle w:val="SubtleEmphasis"/>
          <w:i w:val="0"/>
          <w:color w:val="auto"/>
        </w:rPr>
        <w:t xml:space="preserve"> record a decline in employment</w:t>
      </w:r>
      <w:r w:rsidRPr="003B3C31">
        <w:rPr>
          <w:rStyle w:val="SubtleEmphasis"/>
          <w:i w:val="0"/>
          <w:color w:val="auto"/>
        </w:rPr>
        <w:t xml:space="preserve"> over</w:t>
      </w:r>
      <w:r w:rsidR="00F30253" w:rsidRPr="003B3C31">
        <w:rPr>
          <w:rStyle w:val="SubtleEmphasis"/>
          <w:i w:val="0"/>
          <w:color w:val="auto"/>
        </w:rPr>
        <w:t xml:space="preserve"> the five years to November 2019</w:t>
      </w:r>
      <w:r w:rsidR="00672F11" w:rsidRPr="003B3C31">
        <w:rPr>
          <w:rStyle w:val="SubtleEmphasis"/>
          <w:i w:val="0"/>
          <w:color w:val="auto"/>
        </w:rPr>
        <w:t xml:space="preserve">. </w:t>
      </w:r>
      <w:r w:rsidR="003B3C31" w:rsidRPr="003B3C31">
        <w:rPr>
          <w:rStyle w:val="SubtleEmphasis"/>
          <w:i w:val="0"/>
          <w:color w:val="auto"/>
        </w:rPr>
        <w:t xml:space="preserve">The largest fall across </w:t>
      </w:r>
      <w:r w:rsidR="003B3C31">
        <w:rPr>
          <w:rStyle w:val="SubtleEmphasis"/>
          <w:i w:val="0"/>
          <w:color w:val="auto"/>
        </w:rPr>
        <w:t>all</w:t>
      </w:r>
      <w:r w:rsidR="003B3C31" w:rsidRPr="003B3C31">
        <w:rPr>
          <w:rStyle w:val="SubtleEmphasis"/>
          <w:i w:val="0"/>
          <w:color w:val="auto"/>
        </w:rPr>
        <w:t xml:space="preserve"> sectors is projected for </w:t>
      </w:r>
      <w:r w:rsidR="00672F11" w:rsidRPr="003B3C31">
        <w:rPr>
          <w:rFonts w:asciiTheme="minorHAnsi" w:hAnsiTheme="minorHAnsi" w:cstheme="minorHAnsi"/>
        </w:rPr>
        <w:t>Motor Vehicle and Motor Vehicle Part Manufacturing</w:t>
      </w:r>
      <w:r w:rsidR="004659F6">
        <w:rPr>
          <w:rStyle w:val="FootnoteReference"/>
          <w:rFonts w:asciiTheme="minorHAnsi" w:hAnsiTheme="minorHAnsi" w:cstheme="minorHAnsi"/>
        </w:rPr>
        <w:footnoteReference w:id="3"/>
      </w:r>
      <w:r w:rsidR="00672F11" w:rsidRPr="003B3C31">
        <w:rPr>
          <w:rFonts w:cstheme="minorHAnsi"/>
        </w:rPr>
        <w:t xml:space="preserve"> </w:t>
      </w:r>
      <w:r w:rsidR="00F30253" w:rsidRPr="003B3C31">
        <w:rPr>
          <w:rFonts w:cstheme="minorHAnsi"/>
        </w:rPr>
        <w:t>(down by 23,800 or 47.5</w:t>
      </w:r>
      <w:r w:rsidR="00672F11" w:rsidRPr="003B3C31">
        <w:rPr>
          <w:rFonts w:cstheme="minorHAnsi"/>
        </w:rPr>
        <w:t xml:space="preserve"> per cent)</w:t>
      </w:r>
      <w:r w:rsidR="003B3C31" w:rsidRPr="003B3C31">
        <w:rPr>
          <w:rFonts w:cstheme="minorHAnsi"/>
        </w:rPr>
        <w:t>,</w:t>
      </w:r>
      <w:r w:rsidR="00672F11" w:rsidRPr="003B3C31">
        <w:rPr>
          <w:rFonts w:asciiTheme="minorHAnsi" w:hAnsiTheme="minorHAnsi" w:cstheme="minorHAnsi"/>
        </w:rPr>
        <w:t xml:space="preserve"> following the announced plant closures by </w:t>
      </w:r>
      <w:r w:rsidR="004B1404">
        <w:rPr>
          <w:rFonts w:cs="Calibri"/>
        </w:rPr>
        <w:t>major car manufacturers</w:t>
      </w:r>
      <w:r w:rsidR="008D42D7" w:rsidRPr="003B3C31">
        <w:rPr>
          <w:rFonts w:cs="Calibri"/>
        </w:rPr>
        <w:t>.</w:t>
      </w:r>
      <w:r w:rsidR="00672F11" w:rsidRPr="003B3C31">
        <w:rPr>
          <w:rFonts w:cs="Calibri"/>
        </w:rPr>
        <w:t xml:space="preserve"> </w:t>
      </w:r>
      <w:r w:rsidR="003B3C31">
        <w:rPr>
          <w:rFonts w:cs="Calibri"/>
        </w:rPr>
        <w:t>E</w:t>
      </w:r>
      <w:r w:rsidR="003B3C31" w:rsidRPr="003B3C31">
        <w:rPr>
          <w:rFonts w:cs="Calibri"/>
        </w:rPr>
        <w:t xml:space="preserve">mployment is </w:t>
      </w:r>
      <w:r w:rsidR="00672F11" w:rsidRPr="003B3C31">
        <w:rPr>
          <w:rFonts w:cs="Calibri"/>
        </w:rPr>
        <w:t xml:space="preserve">projected </w:t>
      </w:r>
      <w:r w:rsidR="003B3C31" w:rsidRPr="003B3C31">
        <w:rPr>
          <w:rFonts w:cs="Calibri"/>
        </w:rPr>
        <w:t xml:space="preserve">to decline </w:t>
      </w:r>
      <w:r w:rsidR="00672F11" w:rsidRPr="003B3C31">
        <w:rPr>
          <w:rFonts w:cs="Calibri"/>
        </w:rPr>
        <w:t xml:space="preserve">for </w:t>
      </w:r>
      <w:r w:rsidRPr="003B3C31">
        <w:rPr>
          <w:rFonts w:cs="Calibri"/>
        </w:rPr>
        <w:t xml:space="preserve">a number of Mining related sectors, </w:t>
      </w:r>
      <w:r w:rsidR="00F30253" w:rsidRPr="003B3C31">
        <w:rPr>
          <w:rFonts w:cs="Calibri"/>
        </w:rPr>
        <w:t xml:space="preserve">with the largest </w:t>
      </w:r>
      <w:r w:rsidR="00E14C2A" w:rsidRPr="003B3C31">
        <w:rPr>
          <w:rFonts w:cs="Calibri"/>
        </w:rPr>
        <w:t xml:space="preserve">declines </w:t>
      </w:r>
      <w:r w:rsidR="00F30253" w:rsidRPr="003B3C31">
        <w:rPr>
          <w:rFonts w:cs="Calibri"/>
        </w:rPr>
        <w:t>projected for Metal Ore Mining (7</w:t>
      </w:r>
      <w:r w:rsidR="004659F6">
        <w:rPr>
          <w:rFonts w:cs="Calibri"/>
        </w:rPr>
        <w:t>,</w:t>
      </w:r>
      <w:r w:rsidR="00F30253" w:rsidRPr="003B3C31">
        <w:rPr>
          <w:rFonts w:cs="Calibri"/>
        </w:rPr>
        <w:t xml:space="preserve">600 or 13.4 per cent), Coal Mining (7,300 or 17.1 per cent) </w:t>
      </w:r>
      <w:r w:rsidR="00672F11" w:rsidRPr="003B3C31">
        <w:rPr>
          <w:rFonts w:cs="Calibri"/>
        </w:rPr>
        <w:t>Heavy and Civil Enginee</w:t>
      </w:r>
      <w:r w:rsidR="00F30253" w:rsidRPr="003B3C31">
        <w:rPr>
          <w:rFonts w:cs="Calibri"/>
        </w:rPr>
        <w:t>ring Construction (6</w:t>
      </w:r>
      <w:r w:rsidR="00830463">
        <w:rPr>
          <w:rFonts w:cs="Calibri"/>
        </w:rPr>
        <w:t>,</w:t>
      </w:r>
      <w:r w:rsidR="00F30253" w:rsidRPr="003B3C31">
        <w:rPr>
          <w:rFonts w:cs="Calibri"/>
        </w:rPr>
        <w:t>5</w:t>
      </w:r>
      <w:r w:rsidR="00BF4FD4" w:rsidRPr="003B3C31">
        <w:rPr>
          <w:rFonts w:cs="Calibri"/>
        </w:rPr>
        <w:t>00</w:t>
      </w:r>
      <w:r w:rsidR="00F30253" w:rsidRPr="003B3C31">
        <w:rPr>
          <w:rFonts w:cs="Calibri"/>
        </w:rPr>
        <w:t xml:space="preserve"> or </w:t>
      </w:r>
      <w:r w:rsidR="00672F11" w:rsidRPr="003B3C31">
        <w:rPr>
          <w:rFonts w:cs="Calibri"/>
        </w:rPr>
        <w:t>8</w:t>
      </w:r>
      <w:r w:rsidR="00F30253" w:rsidRPr="003B3C31">
        <w:rPr>
          <w:rFonts w:cs="Calibri"/>
        </w:rPr>
        <w:t>.3</w:t>
      </w:r>
      <w:r w:rsidR="00672F11" w:rsidRPr="003B3C31">
        <w:rPr>
          <w:rFonts w:cs="Calibri"/>
        </w:rPr>
        <w:t xml:space="preserve"> per </w:t>
      </w:r>
      <w:r w:rsidR="00F30253" w:rsidRPr="003B3C31">
        <w:rPr>
          <w:rFonts w:cs="Calibri"/>
        </w:rPr>
        <w:t xml:space="preserve">cent), </w:t>
      </w:r>
      <w:r w:rsidR="003B3C31" w:rsidRPr="003B3C31">
        <w:rPr>
          <w:rFonts w:cs="Calibri"/>
        </w:rPr>
        <w:t>Other Mining Support Services</w:t>
      </w:r>
      <w:r w:rsidR="0079295D">
        <w:rPr>
          <w:rStyle w:val="FootnoteReference"/>
          <w:rFonts w:cs="Calibri"/>
        </w:rPr>
        <w:footnoteReference w:id="4"/>
      </w:r>
      <w:r w:rsidR="003B3C31" w:rsidRPr="003B3C31">
        <w:rPr>
          <w:rFonts w:cs="Calibri"/>
        </w:rPr>
        <w:t xml:space="preserve"> (6,400 or 25.2 per cent)</w:t>
      </w:r>
      <w:r w:rsidR="003B3C31">
        <w:rPr>
          <w:rFonts w:cs="Calibri"/>
        </w:rPr>
        <w:t xml:space="preserve"> and </w:t>
      </w:r>
      <w:r w:rsidR="00BF4FD4" w:rsidRPr="003B3C31">
        <w:rPr>
          <w:rFonts w:cs="Calibri"/>
        </w:rPr>
        <w:t xml:space="preserve">Exploration </w:t>
      </w:r>
      <w:r w:rsidR="00F30253" w:rsidRPr="003B3C31">
        <w:rPr>
          <w:rFonts w:cs="Calibri"/>
        </w:rPr>
        <w:t>(5</w:t>
      </w:r>
      <w:r w:rsidR="00830463">
        <w:rPr>
          <w:rFonts w:cs="Calibri"/>
        </w:rPr>
        <w:t>,</w:t>
      </w:r>
      <w:r w:rsidR="00F30253" w:rsidRPr="003B3C31">
        <w:rPr>
          <w:rFonts w:cs="Calibri"/>
        </w:rPr>
        <w:t>5</w:t>
      </w:r>
      <w:r w:rsidR="00BF4FD4" w:rsidRPr="003B3C31">
        <w:rPr>
          <w:rFonts w:cs="Calibri"/>
        </w:rPr>
        <w:t>00</w:t>
      </w:r>
      <w:r w:rsidR="00F30253" w:rsidRPr="003B3C31">
        <w:rPr>
          <w:rFonts w:cs="Calibri"/>
        </w:rPr>
        <w:t xml:space="preserve"> or 22</w:t>
      </w:r>
      <w:r w:rsidR="00672F11" w:rsidRPr="003B3C31">
        <w:rPr>
          <w:rFonts w:cs="Calibri"/>
        </w:rPr>
        <w:t>.0 per cent)</w:t>
      </w:r>
      <w:r w:rsidR="00BD2EC2" w:rsidRPr="003B3C31">
        <w:rPr>
          <w:rFonts w:cs="Calibri"/>
        </w:rPr>
        <w:t xml:space="preserve">. </w:t>
      </w:r>
      <w:r w:rsidR="00830463">
        <w:rPr>
          <w:rFonts w:cs="Calibri"/>
        </w:rPr>
        <w:t xml:space="preserve">Employment in </w:t>
      </w:r>
      <w:r w:rsidR="00672F11" w:rsidRPr="003B3C31">
        <w:rPr>
          <w:rFonts w:cs="Calibri"/>
        </w:rPr>
        <w:t>Central Government</w:t>
      </w:r>
      <w:r w:rsidR="008D42D7" w:rsidRPr="003B3C31">
        <w:rPr>
          <w:rFonts w:cs="Calibri"/>
        </w:rPr>
        <w:t xml:space="preserve"> Administration </w:t>
      </w:r>
      <w:r w:rsidR="00830463">
        <w:rPr>
          <w:rFonts w:cs="Calibri"/>
        </w:rPr>
        <w:t xml:space="preserve">is </w:t>
      </w:r>
      <w:r w:rsidR="00643655">
        <w:rPr>
          <w:rFonts w:cs="Calibri"/>
        </w:rPr>
        <w:t xml:space="preserve">also </w:t>
      </w:r>
      <w:r w:rsidR="00830463">
        <w:rPr>
          <w:rFonts w:cs="Calibri"/>
        </w:rPr>
        <w:t xml:space="preserve">projected to </w:t>
      </w:r>
      <w:r w:rsidR="0079295D">
        <w:rPr>
          <w:rFonts w:cs="Calibri"/>
        </w:rPr>
        <w:t xml:space="preserve">record one of the largest falls </w:t>
      </w:r>
      <w:r w:rsidR="00830463">
        <w:rPr>
          <w:rFonts w:cs="Calibri"/>
        </w:rPr>
        <w:t xml:space="preserve">over the period </w:t>
      </w:r>
      <w:r w:rsidR="00643655">
        <w:rPr>
          <w:rFonts w:cs="Calibri"/>
        </w:rPr>
        <w:t>(</w:t>
      </w:r>
      <w:r w:rsidR="003B3C31" w:rsidRPr="003B3C31">
        <w:rPr>
          <w:rFonts w:cs="Calibri"/>
        </w:rPr>
        <w:t>4</w:t>
      </w:r>
      <w:r w:rsidR="00830463">
        <w:rPr>
          <w:rFonts w:cs="Calibri"/>
        </w:rPr>
        <w:t>,</w:t>
      </w:r>
      <w:r w:rsidR="003B3C31" w:rsidRPr="003B3C31">
        <w:rPr>
          <w:rFonts w:cs="Calibri"/>
        </w:rPr>
        <w:t>9</w:t>
      </w:r>
      <w:r w:rsidR="00BF4FD4" w:rsidRPr="003B3C31">
        <w:rPr>
          <w:rFonts w:cs="Calibri"/>
        </w:rPr>
        <w:t>00</w:t>
      </w:r>
      <w:r w:rsidR="003B3C31" w:rsidRPr="003B3C31">
        <w:rPr>
          <w:rFonts w:cs="Calibri"/>
        </w:rPr>
        <w:t xml:space="preserve"> or 4.6</w:t>
      </w:r>
      <w:r w:rsidR="00672F11" w:rsidRPr="003B3C31">
        <w:rPr>
          <w:rFonts w:cs="Calibri"/>
        </w:rPr>
        <w:t xml:space="preserve"> per cent). </w:t>
      </w:r>
      <w:r w:rsidR="00455DA3" w:rsidRPr="0003043E">
        <w:rPr>
          <w:highlight w:val="yellow"/>
        </w:rPr>
        <w:br w:type="page"/>
      </w:r>
    </w:p>
    <w:p w:rsidR="0048546C" w:rsidRPr="00A15C2D" w:rsidRDefault="0048546C" w:rsidP="0048546C">
      <w:pPr>
        <w:pStyle w:val="Heading1"/>
        <w:keepNext w:val="0"/>
        <w:spacing w:before="0" w:after="240" w:line="240" w:lineRule="auto"/>
        <w:contextualSpacing/>
        <w:rPr>
          <w:rFonts w:ascii="Calibri" w:eastAsiaTheme="majorEastAsia" w:hAnsi="Calibri" w:cstheme="majorBidi"/>
          <w:color w:val="003D6B"/>
          <w:sz w:val="36"/>
          <w:szCs w:val="36"/>
        </w:rPr>
      </w:pPr>
      <w:bookmarkStart w:id="11" w:name="_Toc425756968"/>
      <w:r w:rsidRPr="00C06A3A">
        <w:rPr>
          <w:rFonts w:ascii="Calibri" w:eastAsiaTheme="majorEastAsia" w:hAnsi="Calibri" w:cstheme="majorBidi"/>
          <w:color w:val="003D6B"/>
          <w:sz w:val="36"/>
          <w:szCs w:val="36"/>
        </w:rPr>
        <w:t>Projected employment growth by</w:t>
      </w:r>
      <w:r w:rsidR="00BD2EC2" w:rsidRPr="00C06A3A">
        <w:rPr>
          <w:rFonts w:ascii="Calibri" w:eastAsiaTheme="majorEastAsia" w:hAnsi="Calibri" w:cstheme="majorBidi"/>
          <w:color w:val="003D6B"/>
          <w:sz w:val="36"/>
          <w:szCs w:val="36"/>
        </w:rPr>
        <w:t xml:space="preserve"> skill level</w:t>
      </w:r>
      <w:bookmarkEnd w:id="11"/>
    </w:p>
    <w:p w:rsidR="0048546C" w:rsidRPr="00A15C2D" w:rsidRDefault="0048546C" w:rsidP="0048546C">
      <w:pPr>
        <w:jc w:val="both"/>
      </w:pPr>
      <w:r w:rsidRPr="00A15C2D">
        <w:t>The Australian Bureau of Statistics (ABS) classifies occupations according to five</w:t>
      </w:r>
      <w:r w:rsidR="00BD2EC2" w:rsidRPr="00A15C2D">
        <w:t xml:space="preserve"> skill level</w:t>
      </w:r>
      <w:r w:rsidRPr="00A15C2D">
        <w:t>s commensurate with the following qualification(s)</w:t>
      </w:r>
      <w:r w:rsidRPr="00A15C2D">
        <w:rPr>
          <w:rStyle w:val="FootnoteReference"/>
        </w:rPr>
        <w:footnoteReference w:id="5"/>
      </w:r>
      <w:r w:rsidRPr="00A15C2D">
        <w:t>:</w:t>
      </w:r>
    </w:p>
    <w:p w:rsidR="0048546C" w:rsidRPr="00A15C2D" w:rsidRDefault="00BD2EC2" w:rsidP="0048546C">
      <w:pPr>
        <w:pStyle w:val="ListParagraph"/>
        <w:numPr>
          <w:ilvl w:val="0"/>
          <w:numId w:val="12"/>
        </w:numPr>
        <w:spacing w:after="0"/>
        <w:jc w:val="both"/>
      </w:pPr>
      <w:r w:rsidRPr="00A15C2D">
        <w:t>Skill level</w:t>
      </w:r>
      <w:r w:rsidR="0048546C" w:rsidRPr="00A15C2D">
        <w:t xml:space="preserve"> 1: Bachelor degree or higher qualification</w:t>
      </w:r>
    </w:p>
    <w:p w:rsidR="0048546C" w:rsidRPr="00A15C2D" w:rsidRDefault="00BD2EC2" w:rsidP="0048546C">
      <w:pPr>
        <w:pStyle w:val="ListParagraph"/>
        <w:numPr>
          <w:ilvl w:val="0"/>
          <w:numId w:val="12"/>
        </w:numPr>
        <w:spacing w:after="0"/>
        <w:jc w:val="both"/>
      </w:pPr>
      <w:r w:rsidRPr="00A15C2D">
        <w:t>Skill level</w:t>
      </w:r>
      <w:r w:rsidR="0048546C" w:rsidRPr="00A15C2D">
        <w:t xml:space="preserve"> 2: Advanced Diploma or Diploma</w:t>
      </w:r>
    </w:p>
    <w:p w:rsidR="0048546C" w:rsidRPr="00A15C2D" w:rsidRDefault="00BD2EC2" w:rsidP="0048546C">
      <w:pPr>
        <w:pStyle w:val="ListParagraph"/>
        <w:numPr>
          <w:ilvl w:val="0"/>
          <w:numId w:val="12"/>
        </w:numPr>
        <w:spacing w:after="0"/>
        <w:jc w:val="both"/>
      </w:pPr>
      <w:r w:rsidRPr="00A15C2D">
        <w:t>Skill level</w:t>
      </w:r>
      <w:r w:rsidR="0048546C" w:rsidRPr="00A15C2D">
        <w:t xml:space="preserve"> 3: Certificate IV or III (including at least two years on-the-job training)</w:t>
      </w:r>
    </w:p>
    <w:p w:rsidR="0048546C" w:rsidRPr="00A15C2D" w:rsidRDefault="00BD2EC2" w:rsidP="0048546C">
      <w:pPr>
        <w:pStyle w:val="ListParagraph"/>
        <w:numPr>
          <w:ilvl w:val="0"/>
          <w:numId w:val="12"/>
        </w:numPr>
        <w:spacing w:after="0"/>
        <w:jc w:val="both"/>
      </w:pPr>
      <w:r w:rsidRPr="00A15C2D">
        <w:t>Skill level</w:t>
      </w:r>
      <w:r w:rsidR="0048546C" w:rsidRPr="00A15C2D">
        <w:t xml:space="preserve"> 4: Certificate II or III </w:t>
      </w:r>
    </w:p>
    <w:p w:rsidR="0048546C" w:rsidRPr="00A15C2D" w:rsidRDefault="00BD2EC2" w:rsidP="0048546C">
      <w:pPr>
        <w:pStyle w:val="ListParagraph"/>
        <w:numPr>
          <w:ilvl w:val="0"/>
          <w:numId w:val="12"/>
        </w:numPr>
        <w:spacing w:after="120"/>
        <w:jc w:val="both"/>
      </w:pPr>
      <w:r w:rsidRPr="00A15C2D">
        <w:t>Skill level</w:t>
      </w:r>
      <w:r w:rsidR="0048546C" w:rsidRPr="00A15C2D">
        <w:t xml:space="preserve"> 5: Certificate I or secondary education</w:t>
      </w:r>
    </w:p>
    <w:p w:rsidR="0048546C" w:rsidRPr="003576E9" w:rsidRDefault="0048546C" w:rsidP="0048546C">
      <w:pPr>
        <w:jc w:val="both"/>
      </w:pPr>
      <w:r w:rsidRPr="00A15C2D">
        <w:t xml:space="preserve">The attainment of educational qualifications remains important given the strong past and projected growth of higher skilled occupations, as well as the lower unemployment rates recorded for people with higher qualifications. </w:t>
      </w:r>
      <w:r w:rsidRPr="00A15C2D">
        <w:rPr>
          <w:rFonts w:cstheme="minorHAnsi"/>
        </w:rPr>
        <w:t xml:space="preserve">Over the past few decades, the Australian economy has continued to shift away from lower skilled jobs towards a higher skilled, service based </w:t>
      </w:r>
      <w:r w:rsidRPr="003576E9">
        <w:rPr>
          <w:rFonts w:cstheme="minorHAnsi"/>
        </w:rPr>
        <w:t>economy.</w:t>
      </w:r>
      <w:r w:rsidRPr="003576E9">
        <w:t xml:space="preserve"> Looking ahead, the evolution of the labour market towards higher skilled occupations looks set to continue over the five years to November 201</w:t>
      </w:r>
      <w:r w:rsidR="00A15C2D" w:rsidRPr="003576E9">
        <w:t>9</w:t>
      </w:r>
      <w:r w:rsidRPr="003576E9">
        <w:t xml:space="preserve">, with employment growth projected to be strongest, in percentage terms, among the </w:t>
      </w:r>
      <w:r w:rsidR="00B309EA" w:rsidRPr="003576E9">
        <w:t xml:space="preserve">two </w:t>
      </w:r>
      <w:r w:rsidRPr="003576E9">
        <w:t xml:space="preserve">highest </w:t>
      </w:r>
      <w:r w:rsidR="00BD2EC2" w:rsidRPr="003576E9">
        <w:t>skill level</w:t>
      </w:r>
      <w:r w:rsidRPr="003576E9">
        <w:t xml:space="preserve">s. This </w:t>
      </w:r>
      <w:r w:rsidRPr="000A7D76">
        <w:t xml:space="preserve">highlights the importance of educational attainment not only for those in the workforce looking for career </w:t>
      </w:r>
      <w:r w:rsidRPr="000A7D76">
        <w:rPr>
          <w:rFonts w:cstheme="minorHAnsi"/>
        </w:rPr>
        <w:t>advancement, but also for potential first time labour market entrants looking to improve their employment prospects. Employment for</w:t>
      </w:r>
      <w:r w:rsidR="00BD2EC2" w:rsidRPr="000A7D76">
        <w:rPr>
          <w:rFonts w:cstheme="minorHAnsi"/>
        </w:rPr>
        <w:t xml:space="preserve"> skill level</w:t>
      </w:r>
      <w:r w:rsidRPr="000A7D76">
        <w:rPr>
          <w:rFonts w:cstheme="minorHAnsi"/>
        </w:rPr>
        <w:t xml:space="preserve"> 1 </w:t>
      </w:r>
      <w:r w:rsidR="00C06A3A">
        <w:rPr>
          <w:rFonts w:cstheme="minorHAnsi"/>
        </w:rPr>
        <w:t xml:space="preserve">occupations </w:t>
      </w:r>
      <w:r w:rsidRPr="000A7D76">
        <w:rPr>
          <w:rFonts w:cstheme="minorHAnsi"/>
        </w:rPr>
        <w:t>is projected to increase</w:t>
      </w:r>
      <w:r w:rsidR="00B309EA" w:rsidRPr="000A7D76">
        <w:rPr>
          <w:rFonts w:cstheme="minorHAnsi"/>
        </w:rPr>
        <w:t xml:space="preserve"> strongly</w:t>
      </w:r>
      <w:r w:rsidR="003576E9" w:rsidRPr="000A7D76">
        <w:rPr>
          <w:rFonts w:cstheme="minorHAnsi"/>
        </w:rPr>
        <w:t xml:space="preserve"> by 46</w:t>
      </w:r>
      <w:r w:rsidRPr="000A7D76">
        <w:rPr>
          <w:rFonts w:cstheme="minorHAnsi"/>
        </w:rPr>
        <w:t>6,</w:t>
      </w:r>
      <w:r w:rsidR="003576E9" w:rsidRPr="000A7D76">
        <w:rPr>
          <w:rFonts w:cstheme="minorHAnsi"/>
        </w:rPr>
        <w:t>7</w:t>
      </w:r>
      <w:r w:rsidR="004B1404">
        <w:rPr>
          <w:rFonts w:cstheme="minorHAnsi"/>
        </w:rPr>
        <w:t>00 (or </w:t>
      </w:r>
      <w:r w:rsidR="003576E9" w:rsidRPr="000A7D76">
        <w:rPr>
          <w:rFonts w:cstheme="minorHAnsi"/>
        </w:rPr>
        <w:t>13.1</w:t>
      </w:r>
      <w:r w:rsidRPr="000A7D76">
        <w:rPr>
          <w:rFonts w:cstheme="minorHAnsi"/>
        </w:rPr>
        <w:t> per cent) over the five years to November 201</w:t>
      </w:r>
      <w:r w:rsidR="003576E9" w:rsidRPr="000A7D76">
        <w:rPr>
          <w:rFonts w:cstheme="minorHAnsi"/>
        </w:rPr>
        <w:t>9</w:t>
      </w:r>
      <w:r w:rsidRPr="000A7D76">
        <w:rPr>
          <w:rFonts w:cstheme="minorHAnsi"/>
        </w:rPr>
        <w:t>, while</w:t>
      </w:r>
      <w:r w:rsidR="00BD2EC2" w:rsidRPr="000A7D76">
        <w:rPr>
          <w:rFonts w:cstheme="minorHAnsi"/>
        </w:rPr>
        <w:t xml:space="preserve"> skill level</w:t>
      </w:r>
      <w:r w:rsidRPr="000A7D76">
        <w:rPr>
          <w:rFonts w:cstheme="minorHAnsi"/>
        </w:rPr>
        <w:t xml:space="preserve"> 2 is also projected </w:t>
      </w:r>
      <w:r w:rsidR="00B309EA" w:rsidRPr="000A7D76">
        <w:rPr>
          <w:rFonts w:cstheme="minorHAnsi"/>
        </w:rPr>
        <w:t xml:space="preserve">to grow by </w:t>
      </w:r>
      <w:r w:rsidR="003576E9" w:rsidRPr="000A7D76">
        <w:rPr>
          <w:rFonts w:cstheme="minorHAnsi"/>
        </w:rPr>
        <w:t>136,400</w:t>
      </w:r>
      <w:r w:rsidRPr="000A7D76">
        <w:rPr>
          <w:rFonts w:cstheme="minorHAnsi"/>
        </w:rPr>
        <w:t xml:space="preserve"> </w:t>
      </w:r>
      <w:r w:rsidR="00B309EA" w:rsidRPr="000A7D76">
        <w:rPr>
          <w:rFonts w:cstheme="minorHAnsi"/>
        </w:rPr>
        <w:t>(</w:t>
      </w:r>
      <w:r w:rsidRPr="000A7D76">
        <w:rPr>
          <w:rFonts w:cstheme="minorHAnsi"/>
        </w:rPr>
        <w:t xml:space="preserve">or </w:t>
      </w:r>
      <w:r w:rsidR="003576E9" w:rsidRPr="000A7D76">
        <w:rPr>
          <w:rFonts w:cstheme="minorHAnsi"/>
        </w:rPr>
        <w:t>10.4</w:t>
      </w:r>
      <w:r w:rsidRPr="000A7D76">
        <w:rPr>
          <w:rFonts w:cstheme="minorHAnsi"/>
        </w:rPr>
        <w:t xml:space="preserve"> per cent). </w:t>
      </w:r>
      <w:r w:rsidR="00EA526C">
        <w:rPr>
          <w:rFonts w:cstheme="minorHAnsi"/>
        </w:rPr>
        <w:t xml:space="preserve">More subdued </w:t>
      </w:r>
      <w:r w:rsidR="00E67805">
        <w:rPr>
          <w:rFonts w:cstheme="minorHAnsi"/>
        </w:rPr>
        <w:t xml:space="preserve">growth is projected for </w:t>
      </w:r>
      <w:r w:rsidR="00B806BA" w:rsidRPr="000A7D76">
        <w:rPr>
          <w:rFonts w:cstheme="minorHAnsi"/>
        </w:rPr>
        <w:t>skill level 3 (147,100 or just 8.3 per cent)</w:t>
      </w:r>
      <w:r w:rsidR="00B806BA">
        <w:rPr>
          <w:rFonts w:cstheme="minorHAnsi"/>
        </w:rPr>
        <w:t xml:space="preserve">, </w:t>
      </w:r>
      <w:r w:rsidR="00E67805">
        <w:rPr>
          <w:rFonts w:cstheme="minorHAnsi"/>
        </w:rPr>
        <w:t xml:space="preserve">with weak or negative growth projected for </w:t>
      </w:r>
      <w:r w:rsidR="00B806BA">
        <w:rPr>
          <w:rFonts w:cstheme="minorHAnsi"/>
        </w:rPr>
        <w:t>some Au</w:t>
      </w:r>
      <w:r w:rsidR="00332ACF">
        <w:rPr>
          <w:rFonts w:cstheme="minorHAnsi"/>
        </w:rPr>
        <w:t>tomotive and Engineering Trades</w:t>
      </w:r>
      <w:r w:rsidR="00962410">
        <w:rPr>
          <w:rFonts w:cstheme="minorHAnsi"/>
        </w:rPr>
        <w:t>,</w:t>
      </w:r>
      <w:r w:rsidR="00B806BA">
        <w:rPr>
          <w:rFonts w:cstheme="minorHAnsi"/>
        </w:rPr>
        <w:t xml:space="preserve"> </w:t>
      </w:r>
      <w:r w:rsidR="00962410">
        <w:rPr>
          <w:rFonts w:cstheme="minorHAnsi"/>
        </w:rPr>
        <w:t xml:space="preserve">and </w:t>
      </w:r>
      <w:r w:rsidR="00B806BA">
        <w:rPr>
          <w:rFonts w:cstheme="minorHAnsi"/>
        </w:rPr>
        <w:t xml:space="preserve">Printing, Clothing and Wood Trades, </w:t>
      </w:r>
      <w:r w:rsidR="00962410">
        <w:rPr>
          <w:rFonts w:cstheme="minorHAnsi"/>
        </w:rPr>
        <w:t xml:space="preserve">as well as </w:t>
      </w:r>
      <w:r w:rsidR="00332ACF">
        <w:rPr>
          <w:rFonts w:cstheme="minorHAnsi"/>
        </w:rPr>
        <w:t>for Secretaries and Personal Assistants</w:t>
      </w:r>
      <w:r w:rsidR="00B806BA">
        <w:rPr>
          <w:rFonts w:cstheme="minorHAnsi"/>
        </w:rPr>
        <w:t xml:space="preserve">. </w:t>
      </w:r>
      <w:r w:rsidRPr="000A7D76">
        <w:rPr>
          <w:rFonts w:cstheme="minorHAnsi"/>
        </w:rPr>
        <w:t>Employment for</w:t>
      </w:r>
      <w:r w:rsidR="00BD2EC2" w:rsidRPr="000A7D76">
        <w:rPr>
          <w:rFonts w:cstheme="minorHAnsi"/>
        </w:rPr>
        <w:t xml:space="preserve"> skill level</w:t>
      </w:r>
      <w:r w:rsidRPr="000A7D76">
        <w:rPr>
          <w:rFonts w:cstheme="minorHAnsi"/>
        </w:rPr>
        <w:t xml:space="preserve"> 4 is projected to increase by </w:t>
      </w:r>
      <w:r w:rsidR="003576E9" w:rsidRPr="000A7D76">
        <w:rPr>
          <w:rFonts w:cstheme="minorHAnsi"/>
        </w:rPr>
        <w:t>299,000</w:t>
      </w:r>
      <w:r w:rsidRPr="000A7D76">
        <w:rPr>
          <w:rFonts w:cstheme="minorHAnsi"/>
        </w:rPr>
        <w:t xml:space="preserve"> (or </w:t>
      </w:r>
      <w:r w:rsidR="003576E9" w:rsidRPr="000A7D76">
        <w:rPr>
          <w:rFonts w:cstheme="minorHAnsi"/>
        </w:rPr>
        <w:t>9.9</w:t>
      </w:r>
      <w:r w:rsidRPr="000A7D76">
        <w:rPr>
          <w:rFonts w:cstheme="minorHAnsi"/>
        </w:rPr>
        <w:t xml:space="preserve"> per cent), providing lower skill</w:t>
      </w:r>
      <w:r w:rsidR="00E67805">
        <w:rPr>
          <w:rFonts w:cstheme="minorHAnsi"/>
        </w:rPr>
        <w:t xml:space="preserve">ed opportunities for job seekers, while weaker growth is projected for </w:t>
      </w:r>
      <w:r w:rsidR="00B806BA" w:rsidRPr="000A7D76">
        <w:rPr>
          <w:rFonts w:cstheme="minorHAnsi"/>
        </w:rPr>
        <w:t>skill level 5 (up by</w:t>
      </w:r>
      <w:r w:rsidR="00962410">
        <w:rPr>
          <w:rFonts w:cstheme="minorHAnsi"/>
        </w:rPr>
        <w:t xml:space="preserve"> 117,200 or 6.0 </w:t>
      </w:r>
      <w:r w:rsidR="00B806BA" w:rsidRPr="000A7D76">
        <w:rPr>
          <w:rFonts w:cstheme="minorHAnsi"/>
        </w:rPr>
        <w:t>per cent).</w:t>
      </w:r>
    </w:p>
    <w:p w:rsidR="0048546C" w:rsidRPr="003576E9" w:rsidRDefault="0048546C" w:rsidP="0048546C">
      <w:pPr>
        <w:spacing w:after="0"/>
        <w:rPr>
          <w:rStyle w:val="SubtleEmphasis"/>
          <w:b/>
          <w:i w:val="0"/>
          <w:color w:val="auto"/>
        </w:rPr>
      </w:pPr>
      <w:r w:rsidRPr="003576E9">
        <w:rPr>
          <w:rStyle w:val="SubtleEmphasis"/>
          <w:b/>
          <w:i w:val="0"/>
          <w:color w:val="auto"/>
        </w:rPr>
        <w:t xml:space="preserve">Figure </w:t>
      </w:r>
      <w:r w:rsidR="00C81AB0" w:rsidRPr="003576E9">
        <w:rPr>
          <w:rStyle w:val="SubtleEmphasis"/>
          <w:b/>
          <w:i w:val="0"/>
          <w:color w:val="auto"/>
        </w:rPr>
        <w:t>4</w:t>
      </w:r>
      <w:r w:rsidRPr="003576E9">
        <w:rPr>
          <w:rStyle w:val="SubtleEmphasis"/>
          <w:b/>
          <w:i w:val="0"/>
          <w:color w:val="auto"/>
        </w:rPr>
        <w:t>: Projected employment growth to November 201</w:t>
      </w:r>
      <w:r w:rsidR="003576E9" w:rsidRPr="003576E9">
        <w:rPr>
          <w:rStyle w:val="SubtleEmphasis"/>
          <w:b/>
          <w:i w:val="0"/>
          <w:color w:val="auto"/>
        </w:rPr>
        <w:t>9</w:t>
      </w:r>
      <w:r w:rsidRPr="003576E9">
        <w:rPr>
          <w:rStyle w:val="SubtleEmphasis"/>
          <w:b/>
          <w:i w:val="0"/>
          <w:color w:val="auto"/>
        </w:rPr>
        <w:t xml:space="preserve"> (‘000), by</w:t>
      </w:r>
      <w:r w:rsidR="00BD2EC2" w:rsidRPr="003576E9">
        <w:rPr>
          <w:rStyle w:val="SubtleEmphasis"/>
          <w:b/>
          <w:i w:val="0"/>
          <w:color w:val="auto"/>
        </w:rPr>
        <w:t xml:space="preserve"> skill level</w:t>
      </w:r>
    </w:p>
    <w:p w:rsidR="0048546C" w:rsidRPr="0003043E" w:rsidRDefault="00017E0D" w:rsidP="0048546C">
      <w:pPr>
        <w:spacing w:after="0" w:line="240" w:lineRule="auto"/>
        <w:jc w:val="center"/>
        <w:rPr>
          <w:highlight w:val="yellow"/>
        </w:rPr>
      </w:pPr>
      <w:r w:rsidRPr="00017E0D">
        <w:rPr>
          <w:noProof/>
          <w:lang w:eastAsia="en-AU"/>
        </w:rPr>
        <w:drawing>
          <wp:inline distT="0" distB="0" distL="0" distR="0" wp14:anchorId="4284AA48" wp14:editId="768552BC">
            <wp:extent cx="5952225" cy="340743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33" t="2198" r="846" b="1341"/>
                    <a:stretch/>
                  </pic:blipFill>
                  <pic:spPr bwMode="auto">
                    <a:xfrm>
                      <a:off x="0" y="0"/>
                      <a:ext cx="5956120" cy="340966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48546C" w:rsidRPr="003576E9" w:rsidRDefault="003576E9" w:rsidP="003576E9">
      <w:pPr>
        <w:pStyle w:val="NoSpacing"/>
        <w:rPr>
          <w:sz w:val="18"/>
        </w:rPr>
      </w:pPr>
      <w:r w:rsidRPr="003576E9">
        <w:rPr>
          <w:sz w:val="18"/>
        </w:rPr>
        <w:t>*Includes at least two years on-the-job training.</w:t>
      </w:r>
    </w:p>
    <w:p w:rsidR="00455DA3" w:rsidRPr="003024F0" w:rsidRDefault="00455DA3" w:rsidP="00455DA3">
      <w:pPr>
        <w:pStyle w:val="Heading1"/>
        <w:keepNext w:val="0"/>
        <w:spacing w:before="0" w:after="240" w:line="240" w:lineRule="auto"/>
        <w:contextualSpacing/>
        <w:rPr>
          <w:rFonts w:ascii="Calibri" w:eastAsiaTheme="majorEastAsia" w:hAnsi="Calibri" w:cstheme="majorBidi"/>
          <w:color w:val="003D6B"/>
          <w:sz w:val="36"/>
          <w:szCs w:val="36"/>
        </w:rPr>
      </w:pPr>
      <w:bookmarkStart w:id="12" w:name="_Toc425756969"/>
      <w:r w:rsidRPr="003024F0">
        <w:rPr>
          <w:rFonts w:ascii="Calibri" w:eastAsiaTheme="majorEastAsia" w:hAnsi="Calibri" w:cstheme="majorBidi"/>
          <w:color w:val="003D6B"/>
          <w:sz w:val="36"/>
          <w:szCs w:val="36"/>
        </w:rPr>
        <w:t>Projected employment growth by occupation</w:t>
      </w:r>
      <w:bookmarkEnd w:id="12"/>
    </w:p>
    <w:p w:rsidR="00163B20" w:rsidRPr="001D40F6" w:rsidRDefault="00455DA3" w:rsidP="00455DA3">
      <w:pPr>
        <w:jc w:val="both"/>
        <w:rPr>
          <w:rStyle w:val="SubtleEmphasis"/>
          <w:i w:val="0"/>
          <w:iCs w:val="0"/>
          <w:color w:val="auto"/>
        </w:rPr>
      </w:pPr>
      <w:r w:rsidRPr="00643854">
        <w:rPr>
          <w:rStyle w:val="SubtleEmphasis"/>
          <w:i w:val="0"/>
          <w:color w:val="auto"/>
        </w:rPr>
        <w:t xml:space="preserve">Employment is projected to increase in all eight </w:t>
      </w:r>
      <w:r w:rsidR="00852BCA" w:rsidRPr="00643854">
        <w:rPr>
          <w:rStyle w:val="SubtleEmphasis"/>
          <w:i w:val="0"/>
          <w:color w:val="auto"/>
        </w:rPr>
        <w:t xml:space="preserve">of the </w:t>
      </w:r>
      <w:r w:rsidRPr="00643854">
        <w:rPr>
          <w:rStyle w:val="SubtleEmphasis"/>
          <w:i w:val="0"/>
          <w:color w:val="auto"/>
        </w:rPr>
        <w:t xml:space="preserve">occupational groups </w:t>
      </w:r>
      <w:r w:rsidR="00BD2EC2" w:rsidRPr="00643854">
        <w:rPr>
          <w:rStyle w:val="SubtleEmphasis"/>
          <w:i w:val="0"/>
          <w:color w:val="auto"/>
        </w:rPr>
        <w:t>over</w:t>
      </w:r>
      <w:r w:rsidR="00643854" w:rsidRPr="00643854">
        <w:rPr>
          <w:rStyle w:val="SubtleEmphasis"/>
          <w:i w:val="0"/>
          <w:color w:val="auto"/>
        </w:rPr>
        <w:t xml:space="preserve"> the five years to </w:t>
      </w:r>
      <w:r w:rsidR="00643854" w:rsidRPr="00125355">
        <w:rPr>
          <w:rStyle w:val="SubtleEmphasis"/>
          <w:i w:val="0"/>
          <w:color w:val="auto"/>
        </w:rPr>
        <w:t>November 2019</w:t>
      </w:r>
      <w:r w:rsidRPr="00125355">
        <w:rPr>
          <w:rStyle w:val="SubtleEmphasis"/>
          <w:i w:val="0"/>
          <w:color w:val="auto"/>
        </w:rPr>
        <w:t xml:space="preserve">. In particular, recent strong employment growth is projected to continue for Professionals (up by </w:t>
      </w:r>
      <w:r w:rsidR="00125355" w:rsidRPr="00125355">
        <w:rPr>
          <w:rStyle w:val="SubtleEmphasis"/>
          <w:i w:val="0"/>
          <w:color w:val="auto"/>
        </w:rPr>
        <w:t>376,300</w:t>
      </w:r>
      <w:r w:rsidRPr="00125355">
        <w:rPr>
          <w:rStyle w:val="SubtleEmphasis"/>
          <w:i w:val="0"/>
          <w:color w:val="auto"/>
        </w:rPr>
        <w:t xml:space="preserve"> or </w:t>
      </w:r>
      <w:r w:rsidR="00125355" w:rsidRPr="00125355">
        <w:rPr>
          <w:rStyle w:val="SubtleEmphasis"/>
          <w:i w:val="0"/>
          <w:color w:val="auto"/>
        </w:rPr>
        <w:t>14.2</w:t>
      </w:r>
      <w:r w:rsidRPr="00125355">
        <w:rPr>
          <w:rStyle w:val="SubtleEmphasis"/>
          <w:i w:val="0"/>
          <w:color w:val="auto"/>
        </w:rPr>
        <w:t xml:space="preserve"> per cent) and Community and Personal Service Workers (</w:t>
      </w:r>
      <w:r w:rsidR="00125355" w:rsidRPr="00125355">
        <w:rPr>
          <w:rStyle w:val="SubtleEmphasis"/>
          <w:i w:val="0"/>
          <w:color w:val="auto"/>
        </w:rPr>
        <w:t>205,500</w:t>
      </w:r>
      <w:r w:rsidRPr="00125355">
        <w:rPr>
          <w:rStyle w:val="SubtleEmphasis"/>
          <w:i w:val="0"/>
          <w:color w:val="auto"/>
        </w:rPr>
        <w:t xml:space="preserve"> or </w:t>
      </w:r>
      <w:r w:rsidR="00125355" w:rsidRPr="00125355">
        <w:rPr>
          <w:rStyle w:val="SubtleEmphasis"/>
          <w:i w:val="0"/>
          <w:color w:val="auto"/>
        </w:rPr>
        <w:t>17.9</w:t>
      </w:r>
      <w:r w:rsidRPr="00125355">
        <w:rPr>
          <w:rStyle w:val="SubtleEmphasis"/>
          <w:i w:val="0"/>
          <w:color w:val="auto"/>
        </w:rPr>
        <w:t xml:space="preserve"> per cent)</w:t>
      </w:r>
      <w:r w:rsidR="00163B20" w:rsidRPr="00125355">
        <w:rPr>
          <w:rStyle w:val="SubtleEmphasis"/>
          <w:i w:val="0"/>
          <w:color w:val="auto"/>
        </w:rPr>
        <w:t xml:space="preserve">. </w:t>
      </w:r>
      <w:r w:rsidR="00163B20" w:rsidRPr="00125355">
        <w:t xml:space="preserve">Together, these two occupational groups are expected to </w:t>
      </w:r>
      <w:r w:rsidR="00BD2EC2" w:rsidRPr="00125355">
        <w:t xml:space="preserve">account for </w:t>
      </w:r>
      <w:r w:rsidR="00163B20" w:rsidRPr="00125355">
        <w:t>half of the total growth in empl</w:t>
      </w:r>
      <w:r w:rsidR="00D87E33" w:rsidRPr="00125355">
        <w:t>oyment over the next five years</w:t>
      </w:r>
      <w:r w:rsidR="00125355" w:rsidRPr="00125355">
        <w:t xml:space="preserve">. </w:t>
      </w:r>
      <w:r w:rsidR="00125355">
        <w:t>Strong growth is also projected for Technicians</w:t>
      </w:r>
      <w:r w:rsidR="004B1404">
        <w:t xml:space="preserve"> and Trades Workers (159,800 or</w:t>
      </w:r>
      <w:r w:rsidR="00125355">
        <w:t xml:space="preserve"> 9.3 per </w:t>
      </w:r>
      <w:r w:rsidR="00125355" w:rsidRPr="001D40F6">
        <w:t>cent)</w:t>
      </w:r>
      <w:r w:rsidR="00D87E33" w:rsidRPr="001D40F6">
        <w:t xml:space="preserve">, </w:t>
      </w:r>
      <w:r w:rsidR="00125355" w:rsidRPr="001D40F6">
        <w:t>Managers (146,200 or 9.5 per cent), and Sal</w:t>
      </w:r>
      <w:r w:rsidR="004B1404">
        <w:t>es Workers (110.400 or 10.0 per </w:t>
      </w:r>
      <w:r w:rsidR="00125355" w:rsidRPr="001D40F6">
        <w:t xml:space="preserve">cent). </w:t>
      </w:r>
      <w:r w:rsidR="001D40F6" w:rsidRPr="001D40F6">
        <w:t xml:space="preserve">Employment of </w:t>
      </w:r>
      <w:r w:rsidR="00125355" w:rsidRPr="001D40F6">
        <w:t xml:space="preserve">Clerical and Administrative Support Workers is projected to grow </w:t>
      </w:r>
      <w:r w:rsidR="004B1404">
        <w:t>by 121,400 or 7.4 </w:t>
      </w:r>
      <w:r w:rsidR="00125355" w:rsidRPr="001D40F6">
        <w:t>per cent, below the all occupations average of 10.0 per cent.  E</w:t>
      </w:r>
      <w:r w:rsidR="00341AD4" w:rsidRPr="001D40F6">
        <w:t>mployment growth is projected to be subdued for Machi</w:t>
      </w:r>
      <w:r w:rsidR="001D40F6" w:rsidRPr="001D40F6">
        <w:t>nery Operators and Drivers (25,500 or 3.4</w:t>
      </w:r>
      <w:r w:rsidR="00341AD4" w:rsidRPr="001D40F6">
        <w:t xml:space="preserve"> per cent)</w:t>
      </w:r>
      <w:r w:rsidR="001D40F6" w:rsidRPr="001D40F6">
        <w:t xml:space="preserve"> a</w:t>
      </w:r>
      <w:r w:rsidR="004B1404">
        <w:t>nd Labourers (21,300 or 1.9 per </w:t>
      </w:r>
      <w:r w:rsidR="001D40F6" w:rsidRPr="001D40F6">
        <w:t>cent)</w:t>
      </w:r>
      <w:r w:rsidR="00341AD4" w:rsidRPr="001D40F6">
        <w:t>.</w:t>
      </w:r>
    </w:p>
    <w:p w:rsidR="00455DA3" w:rsidRPr="00A63FAF" w:rsidRDefault="00455DA3" w:rsidP="00455DA3">
      <w:pPr>
        <w:spacing w:after="0"/>
        <w:rPr>
          <w:rStyle w:val="SubtleEmphasis"/>
          <w:b/>
          <w:i w:val="0"/>
          <w:color w:val="auto"/>
        </w:rPr>
      </w:pPr>
      <w:r w:rsidRPr="00A63FAF">
        <w:rPr>
          <w:rStyle w:val="SubtleEmphasis"/>
          <w:b/>
          <w:i w:val="0"/>
          <w:color w:val="auto"/>
        </w:rPr>
        <w:t xml:space="preserve">Figure </w:t>
      </w:r>
      <w:r w:rsidR="00C81AB0" w:rsidRPr="00A63FAF">
        <w:rPr>
          <w:rStyle w:val="SubtleEmphasis"/>
          <w:b/>
          <w:i w:val="0"/>
          <w:color w:val="auto"/>
        </w:rPr>
        <w:t>5</w:t>
      </w:r>
      <w:r w:rsidRPr="00A63FAF">
        <w:rPr>
          <w:rStyle w:val="SubtleEmphasis"/>
          <w:b/>
          <w:i w:val="0"/>
          <w:color w:val="auto"/>
        </w:rPr>
        <w:t>: Projected employment growth by occupat</w:t>
      </w:r>
      <w:r w:rsidR="004236D8" w:rsidRPr="00A63FAF">
        <w:rPr>
          <w:rStyle w:val="SubtleEmphasis"/>
          <w:b/>
          <w:i w:val="0"/>
          <w:color w:val="auto"/>
        </w:rPr>
        <w:t xml:space="preserve">ional group – five years to November </w:t>
      </w:r>
      <w:r w:rsidR="00A63FAF" w:rsidRPr="00A63FAF">
        <w:rPr>
          <w:rStyle w:val="SubtleEmphasis"/>
          <w:b/>
          <w:i w:val="0"/>
          <w:color w:val="auto"/>
        </w:rPr>
        <w:t>2019</w:t>
      </w:r>
      <w:r w:rsidRPr="00A63FAF">
        <w:rPr>
          <w:rStyle w:val="SubtleEmphasis"/>
          <w:b/>
          <w:i w:val="0"/>
          <w:color w:val="auto"/>
        </w:rPr>
        <w:t xml:space="preserve"> (‘000)</w:t>
      </w:r>
    </w:p>
    <w:p w:rsidR="00A63FAF" w:rsidRPr="0003043E" w:rsidRDefault="00A63FAF" w:rsidP="00455DA3">
      <w:pPr>
        <w:spacing w:after="0"/>
        <w:rPr>
          <w:rStyle w:val="SubtleEmphasis"/>
          <w:b/>
          <w:i w:val="0"/>
          <w:color w:val="auto"/>
          <w:highlight w:val="yellow"/>
        </w:rPr>
      </w:pPr>
      <w:r>
        <w:rPr>
          <w:b/>
          <w:iCs/>
          <w:noProof/>
          <w:lang w:eastAsia="en-AU"/>
        </w:rPr>
        <w:drawing>
          <wp:inline distT="0" distB="0" distL="0" distR="0" wp14:anchorId="2D19E8FA">
            <wp:extent cx="6145619" cy="3379096"/>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4811" cy="3384150"/>
                    </a:xfrm>
                    <a:prstGeom prst="rect">
                      <a:avLst/>
                    </a:prstGeom>
                    <a:noFill/>
                  </pic:spPr>
                </pic:pic>
              </a:graphicData>
            </a:graphic>
          </wp:inline>
        </w:drawing>
      </w:r>
    </w:p>
    <w:p w:rsidR="00455DA3" w:rsidRPr="0003043E" w:rsidRDefault="00455DA3" w:rsidP="00455DA3">
      <w:pPr>
        <w:pStyle w:val="NoSpacing"/>
        <w:jc w:val="center"/>
        <w:rPr>
          <w:rStyle w:val="SubtleEmphasis"/>
          <w:b/>
          <w:i w:val="0"/>
          <w:color w:val="auto"/>
          <w:highlight w:val="yellow"/>
        </w:rPr>
      </w:pPr>
    </w:p>
    <w:p w:rsidR="00BD2EC2" w:rsidRPr="0003043E" w:rsidRDefault="00A63FAF" w:rsidP="00852BCA">
      <w:pPr>
        <w:jc w:val="both"/>
        <w:rPr>
          <w:rStyle w:val="SubtleEmphasis"/>
          <w:i w:val="0"/>
          <w:color w:val="auto"/>
          <w:highlight w:val="yellow"/>
        </w:rPr>
      </w:pPr>
      <w:r w:rsidRPr="00106D9B">
        <w:rPr>
          <w:rStyle w:val="SubtleEmphasis"/>
          <w:i w:val="0"/>
          <w:color w:val="auto"/>
        </w:rPr>
        <w:t>Figure 6</w:t>
      </w:r>
      <w:r w:rsidR="00BD2EC2" w:rsidRPr="00106D9B">
        <w:rPr>
          <w:rStyle w:val="SubtleEmphasis"/>
          <w:i w:val="0"/>
          <w:color w:val="auto"/>
        </w:rPr>
        <w:t>, on the next page,</w:t>
      </w:r>
      <w:r w:rsidR="00455DA3" w:rsidRPr="00106D9B">
        <w:rPr>
          <w:rStyle w:val="SubtleEmphasis"/>
          <w:i w:val="0"/>
          <w:color w:val="auto"/>
        </w:rPr>
        <w:t xml:space="preserve"> shows the 20 detailed occupations that are projected to contribute the most to employment growth over</w:t>
      </w:r>
      <w:r w:rsidR="00106D9B" w:rsidRPr="00106D9B">
        <w:rPr>
          <w:rStyle w:val="SubtleEmphasis"/>
          <w:i w:val="0"/>
          <w:color w:val="auto"/>
        </w:rPr>
        <w:t xml:space="preserve"> the five </w:t>
      </w:r>
      <w:r w:rsidR="00106D9B" w:rsidRPr="00004D47">
        <w:rPr>
          <w:rStyle w:val="SubtleEmphasis"/>
          <w:i w:val="0"/>
          <w:color w:val="auto"/>
        </w:rPr>
        <w:t>years to November 2019</w:t>
      </w:r>
      <w:r w:rsidR="00455DA3" w:rsidRPr="00004D47">
        <w:rPr>
          <w:rStyle w:val="SubtleEmphasis"/>
          <w:i w:val="0"/>
          <w:color w:val="auto"/>
        </w:rPr>
        <w:t xml:space="preserve">. </w:t>
      </w:r>
      <w:r w:rsidR="00106D9B" w:rsidRPr="00004D47">
        <w:rPr>
          <w:rStyle w:val="SubtleEmphasis"/>
          <w:i w:val="0"/>
          <w:color w:val="auto"/>
        </w:rPr>
        <w:t xml:space="preserve">General Clerks </w:t>
      </w:r>
      <w:r w:rsidR="00F543E1" w:rsidRPr="00004D47">
        <w:rPr>
          <w:rStyle w:val="SubtleEmphasis"/>
          <w:i w:val="0"/>
          <w:color w:val="auto"/>
        </w:rPr>
        <w:t xml:space="preserve">is projected to record the largest increase in employment over the five years </w:t>
      </w:r>
      <w:r w:rsidR="00EB6FBC" w:rsidRPr="00004D47">
        <w:rPr>
          <w:rStyle w:val="SubtleEmphasis"/>
          <w:i w:val="0"/>
          <w:color w:val="auto"/>
        </w:rPr>
        <w:t xml:space="preserve">of any occupation </w:t>
      </w:r>
      <w:r w:rsidR="00106D9B" w:rsidRPr="00004D47">
        <w:rPr>
          <w:rStyle w:val="SubtleEmphasis"/>
          <w:i w:val="0"/>
          <w:color w:val="auto"/>
        </w:rPr>
        <w:t>(up by 75,600 or 30.0</w:t>
      </w:r>
      <w:r w:rsidR="00F543E1" w:rsidRPr="00004D47">
        <w:rPr>
          <w:rStyle w:val="SubtleEmphasis"/>
          <w:i w:val="0"/>
          <w:color w:val="auto"/>
        </w:rPr>
        <w:t xml:space="preserve"> per cent), </w:t>
      </w:r>
      <w:r w:rsidR="00106D9B" w:rsidRPr="00004D47">
        <w:rPr>
          <w:rStyle w:val="SubtleEmphasis"/>
          <w:i w:val="0"/>
          <w:color w:val="auto"/>
        </w:rPr>
        <w:t>followed by Sales Assistants (General) (58,300 or 11.5 per cent)</w:t>
      </w:r>
      <w:r w:rsidR="00004D47" w:rsidRPr="00004D47">
        <w:rPr>
          <w:rStyle w:val="SubtleEmphasis"/>
          <w:i w:val="0"/>
          <w:color w:val="auto"/>
        </w:rPr>
        <w:t xml:space="preserve"> and Regist</w:t>
      </w:r>
      <w:r w:rsidR="004B1404">
        <w:rPr>
          <w:rStyle w:val="SubtleEmphasis"/>
          <w:i w:val="0"/>
          <w:color w:val="auto"/>
        </w:rPr>
        <w:t>ered Nurses (41,400 or 17.9 per </w:t>
      </w:r>
      <w:r w:rsidR="00004D47" w:rsidRPr="00004D47">
        <w:rPr>
          <w:rStyle w:val="SubtleEmphasis"/>
          <w:i w:val="0"/>
          <w:color w:val="auto"/>
        </w:rPr>
        <w:t>cent)</w:t>
      </w:r>
      <w:r w:rsidR="00106D9B" w:rsidRPr="00004D47">
        <w:rPr>
          <w:rStyle w:val="SubtleEmphasis"/>
          <w:i w:val="0"/>
          <w:color w:val="auto"/>
        </w:rPr>
        <w:t xml:space="preserve">. </w:t>
      </w:r>
      <w:r w:rsidR="00004D47">
        <w:rPr>
          <w:rStyle w:val="SubtleEmphasis"/>
          <w:i w:val="0"/>
          <w:color w:val="auto"/>
        </w:rPr>
        <w:t xml:space="preserve">Carers and Aides are well represented amongst the top 20 occupations, with strong growth projected for Aged and Disabled Carers (26,100 or 18.5 per cent), Child Carers (22,800 or 17.5 per cent) and Education Aides (20,900 or 29.1 per cent). </w:t>
      </w:r>
    </w:p>
    <w:p w:rsidR="00A63FAF" w:rsidRDefault="00A63FAF">
      <w:pPr>
        <w:spacing w:after="0" w:line="240" w:lineRule="auto"/>
        <w:rPr>
          <w:rStyle w:val="SubtleEmphasis"/>
          <w:b/>
          <w:i w:val="0"/>
          <w:color w:val="auto"/>
          <w:highlight w:val="yellow"/>
        </w:rPr>
      </w:pPr>
      <w:r>
        <w:rPr>
          <w:rStyle w:val="SubtleEmphasis"/>
          <w:b/>
          <w:i w:val="0"/>
          <w:color w:val="auto"/>
          <w:highlight w:val="yellow"/>
        </w:rPr>
        <w:br w:type="page"/>
      </w:r>
    </w:p>
    <w:p w:rsidR="00455DA3" w:rsidRPr="00106D9B" w:rsidRDefault="00455DA3" w:rsidP="00455DA3">
      <w:pPr>
        <w:spacing w:after="0"/>
        <w:rPr>
          <w:rStyle w:val="SubtleEmphasis"/>
          <w:b/>
          <w:i w:val="0"/>
          <w:color w:val="auto"/>
        </w:rPr>
      </w:pPr>
      <w:r w:rsidRPr="00106D9B">
        <w:rPr>
          <w:rStyle w:val="SubtleEmphasis"/>
          <w:b/>
          <w:i w:val="0"/>
          <w:color w:val="auto"/>
        </w:rPr>
        <w:t xml:space="preserve">Figure </w:t>
      </w:r>
      <w:r w:rsidR="00C81AB0" w:rsidRPr="00106D9B">
        <w:rPr>
          <w:rStyle w:val="SubtleEmphasis"/>
          <w:b/>
          <w:i w:val="0"/>
          <w:color w:val="auto"/>
        </w:rPr>
        <w:t>6</w:t>
      </w:r>
      <w:r w:rsidRPr="00106D9B">
        <w:rPr>
          <w:rStyle w:val="SubtleEmphasis"/>
          <w:b/>
          <w:i w:val="0"/>
          <w:color w:val="auto"/>
        </w:rPr>
        <w:t xml:space="preserve">: Top 20 occupations </w:t>
      </w:r>
      <w:r w:rsidR="00E449D8" w:rsidRPr="00106D9B">
        <w:rPr>
          <w:rStyle w:val="SubtleEmphasis"/>
          <w:b/>
          <w:i w:val="0"/>
          <w:color w:val="auto"/>
        </w:rPr>
        <w:t>(</w:t>
      </w:r>
      <w:r w:rsidR="00BD2EC2" w:rsidRPr="00106D9B">
        <w:rPr>
          <w:rStyle w:val="SubtleEmphasis"/>
          <w:b/>
          <w:i w:val="0"/>
          <w:color w:val="auto"/>
        </w:rPr>
        <w:t>Skill level</w:t>
      </w:r>
      <w:r w:rsidR="00E449D8" w:rsidRPr="00106D9B">
        <w:rPr>
          <w:rStyle w:val="SubtleEmphasis"/>
          <w:b/>
          <w:i w:val="0"/>
          <w:color w:val="auto"/>
        </w:rPr>
        <w:t xml:space="preserve">) </w:t>
      </w:r>
      <w:r w:rsidRPr="00106D9B">
        <w:rPr>
          <w:rStyle w:val="SubtleEmphasis"/>
          <w:b/>
          <w:i w:val="0"/>
          <w:color w:val="auto"/>
        </w:rPr>
        <w:t>– ranked by p</w:t>
      </w:r>
      <w:r w:rsidR="00106D9B" w:rsidRPr="00106D9B">
        <w:rPr>
          <w:rStyle w:val="SubtleEmphasis"/>
          <w:b/>
          <w:i w:val="0"/>
          <w:color w:val="auto"/>
        </w:rPr>
        <w:t>rojected growth to November 2019</w:t>
      </w:r>
      <w:r w:rsidRPr="00106D9B">
        <w:rPr>
          <w:rStyle w:val="SubtleEmphasis"/>
          <w:b/>
          <w:i w:val="0"/>
          <w:color w:val="auto"/>
        </w:rPr>
        <w:t xml:space="preserve"> (‘000)</w:t>
      </w:r>
    </w:p>
    <w:p w:rsidR="00A63FAF" w:rsidRPr="0003043E" w:rsidRDefault="00106D9B" w:rsidP="00455DA3">
      <w:pPr>
        <w:spacing w:after="0"/>
        <w:rPr>
          <w:rStyle w:val="SubtleEmphasis"/>
          <w:b/>
          <w:i w:val="0"/>
          <w:color w:val="auto"/>
          <w:highlight w:val="yellow"/>
        </w:rPr>
      </w:pPr>
      <w:r>
        <w:rPr>
          <w:b/>
          <w:iCs/>
          <w:noProof/>
          <w:lang w:eastAsia="en-AU"/>
        </w:rPr>
        <w:drawing>
          <wp:inline distT="0" distB="0" distL="0" distR="0" wp14:anchorId="72FA3222" wp14:editId="03624807">
            <wp:extent cx="6118892" cy="5443870"/>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005" cy="5446640"/>
                    </a:xfrm>
                    <a:prstGeom prst="rect">
                      <a:avLst/>
                    </a:prstGeom>
                    <a:noFill/>
                  </pic:spPr>
                </pic:pic>
              </a:graphicData>
            </a:graphic>
          </wp:inline>
        </w:drawing>
      </w:r>
    </w:p>
    <w:p w:rsidR="00455DA3" w:rsidRPr="0003043E" w:rsidRDefault="00455DA3" w:rsidP="00455DA3">
      <w:pPr>
        <w:pStyle w:val="NoSpacing"/>
        <w:spacing w:before="120" w:after="120"/>
        <w:rPr>
          <w:rStyle w:val="SubtleEmphasis"/>
          <w:b/>
          <w:color w:val="auto"/>
          <w:sz w:val="18"/>
          <w:highlight w:val="yellow"/>
        </w:rPr>
      </w:pPr>
    </w:p>
    <w:p w:rsidR="00163B20" w:rsidRPr="00617ADF" w:rsidRDefault="00617ADF" w:rsidP="00455DA3">
      <w:pPr>
        <w:jc w:val="both"/>
        <w:rPr>
          <w:rStyle w:val="SubtleEmphasis"/>
          <w:i w:val="0"/>
          <w:color w:val="auto"/>
        </w:rPr>
      </w:pPr>
      <w:r w:rsidRPr="00617ADF">
        <w:rPr>
          <w:rStyle w:val="SubtleEmphasis"/>
          <w:i w:val="0"/>
          <w:color w:val="auto"/>
        </w:rPr>
        <w:t xml:space="preserve">Secretaries </w:t>
      </w:r>
      <w:r w:rsidR="002F2894">
        <w:rPr>
          <w:rStyle w:val="SubtleEmphasis"/>
          <w:i w:val="0"/>
          <w:color w:val="auto"/>
        </w:rPr>
        <w:t xml:space="preserve">is projected to record the largest decline in employment </w:t>
      </w:r>
      <w:r w:rsidRPr="00617ADF">
        <w:rPr>
          <w:rStyle w:val="SubtleEmphasis"/>
          <w:i w:val="0"/>
          <w:color w:val="auto"/>
        </w:rPr>
        <w:t>(11,400 or 22</w:t>
      </w:r>
      <w:r w:rsidR="009A2F57" w:rsidRPr="00617ADF">
        <w:rPr>
          <w:rStyle w:val="SubtleEmphasis"/>
          <w:i w:val="0"/>
          <w:color w:val="auto"/>
        </w:rPr>
        <w:t>.3 per cent)</w:t>
      </w:r>
      <w:r w:rsidR="002F2894">
        <w:rPr>
          <w:rStyle w:val="SubtleEmphasis"/>
          <w:i w:val="0"/>
          <w:color w:val="auto"/>
        </w:rPr>
        <w:t xml:space="preserve">. </w:t>
      </w:r>
      <w:r w:rsidR="00B87379" w:rsidRPr="00617ADF">
        <w:rPr>
          <w:rStyle w:val="SubtleEmphasis"/>
          <w:i w:val="0"/>
          <w:color w:val="auto"/>
        </w:rPr>
        <w:t>Overall, the majority of the occupations projected to decline fall within the lowest</w:t>
      </w:r>
      <w:r w:rsidR="00BD2EC2" w:rsidRPr="00617ADF">
        <w:rPr>
          <w:rStyle w:val="SubtleEmphasis"/>
          <w:i w:val="0"/>
          <w:color w:val="auto"/>
        </w:rPr>
        <w:t xml:space="preserve"> skill level</w:t>
      </w:r>
      <w:r w:rsidR="00B87379" w:rsidRPr="00617ADF">
        <w:rPr>
          <w:rStyle w:val="SubtleEmphasis"/>
          <w:i w:val="0"/>
          <w:color w:val="auto"/>
        </w:rPr>
        <w:t>s</w:t>
      </w:r>
      <w:r w:rsidR="007B0B9C" w:rsidRPr="00617ADF">
        <w:rPr>
          <w:rStyle w:val="SubtleEmphasis"/>
          <w:i w:val="0"/>
          <w:color w:val="auto"/>
        </w:rPr>
        <w:t xml:space="preserve">, with </w:t>
      </w:r>
      <w:r w:rsidRPr="00617ADF">
        <w:rPr>
          <w:rStyle w:val="SubtleEmphasis"/>
          <w:i w:val="0"/>
          <w:color w:val="auto"/>
        </w:rPr>
        <w:t>eight</w:t>
      </w:r>
      <w:r w:rsidR="00B87379" w:rsidRPr="00617ADF">
        <w:rPr>
          <w:rStyle w:val="SubtleEmphasis"/>
          <w:i w:val="0"/>
          <w:color w:val="auto"/>
        </w:rPr>
        <w:t xml:space="preserve"> of the bottom </w:t>
      </w:r>
      <w:r w:rsidR="00643655">
        <w:rPr>
          <w:rStyle w:val="SubtleEmphasis"/>
          <w:i w:val="0"/>
          <w:color w:val="auto"/>
        </w:rPr>
        <w:t>10</w:t>
      </w:r>
      <w:r w:rsidR="00B87379" w:rsidRPr="00617ADF">
        <w:rPr>
          <w:rStyle w:val="SubtleEmphasis"/>
          <w:i w:val="0"/>
          <w:color w:val="auto"/>
        </w:rPr>
        <w:t xml:space="preserve"> occupations either</w:t>
      </w:r>
      <w:r w:rsidR="00BD2EC2" w:rsidRPr="00617ADF">
        <w:rPr>
          <w:rStyle w:val="SubtleEmphasis"/>
          <w:i w:val="0"/>
          <w:color w:val="auto"/>
        </w:rPr>
        <w:t xml:space="preserve"> skill level</w:t>
      </w:r>
      <w:r w:rsidR="00B87379" w:rsidRPr="00617ADF">
        <w:rPr>
          <w:rStyle w:val="SubtleEmphasis"/>
          <w:i w:val="0"/>
          <w:color w:val="auto"/>
        </w:rPr>
        <w:t xml:space="preserve"> 4 or 5</w:t>
      </w:r>
      <w:r w:rsidR="002F2894">
        <w:rPr>
          <w:rStyle w:val="SubtleEmphasis"/>
          <w:i w:val="0"/>
          <w:color w:val="auto"/>
        </w:rPr>
        <w:t xml:space="preserve"> (for example </w:t>
      </w:r>
      <w:r w:rsidR="002F2894" w:rsidRPr="00617ADF">
        <w:rPr>
          <w:rStyle w:val="SubtleEmphasis"/>
          <w:i w:val="0"/>
          <w:color w:val="auto"/>
        </w:rPr>
        <w:t>Drillers, Miners and Shot Firers</w:t>
      </w:r>
      <w:r w:rsidR="002F2894">
        <w:rPr>
          <w:rStyle w:val="SubtleEmphasis"/>
          <w:i w:val="0"/>
          <w:color w:val="auto"/>
        </w:rPr>
        <w:t>,</w:t>
      </w:r>
      <w:r w:rsidR="002F2894" w:rsidRPr="00617ADF">
        <w:rPr>
          <w:rStyle w:val="SubtleEmphasis"/>
          <w:i w:val="0"/>
          <w:color w:val="auto"/>
        </w:rPr>
        <w:t xml:space="preserve"> Product Assemblers</w:t>
      </w:r>
      <w:r w:rsidR="002F2894">
        <w:rPr>
          <w:rStyle w:val="SubtleEmphasis"/>
          <w:i w:val="0"/>
          <w:color w:val="auto"/>
        </w:rPr>
        <w:t>, Packers and Crop Farm Workers</w:t>
      </w:r>
      <w:r w:rsidR="002F2894" w:rsidRPr="00617ADF">
        <w:rPr>
          <w:rStyle w:val="SubtleEmphasis"/>
          <w:i w:val="0"/>
          <w:color w:val="auto"/>
        </w:rPr>
        <w:t>)</w:t>
      </w:r>
      <w:r w:rsidR="00B87379" w:rsidRPr="00617ADF">
        <w:rPr>
          <w:rStyle w:val="SubtleEmphasis"/>
          <w:i w:val="0"/>
          <w:color w:val="auto"/>
        </w:rPr>
        <w:t xml:space="preserve">, </w:t>
      </w:r>
      <w:r w:rsidR="007B0B9C" w:rsidRPr="00617ADF">
        <w:rPr>
          <w:rStyle w:val="SubtleEmphasis"/>
          <w:i w:val="0"/>
          <w:color w:val="auto"/>
        </w:rPr>
        <w:t>and</w:t>
      </w:r>
      <w:r w:rsidR="00B87379" w:rsidRPr="00617ADF">
        <w:rPr>
          <w:rStyle w:val="SubtleEmphasis"/>
          <w:i w:val="0"/>
          <w:color w:val="auto"/>
        </w:rPr>
        <w:t xml:space="preserve"> just one occupation from the bottom </w:t>
      </w:r>
      <w:r w:rsidR="00643655">
        <w:rPr>
          <w:rStyle w:val="SubtleEmphasis"/>
          <w:i w:val="0"/>
          <w:color w:val="auto"/>
        </w:rPr>
        <w:t>10</w:t>
      </w:r>
      <w:r w:rsidR="00B87379" w:rsidRPr="00617ADF">
        <w:rPr>
          <w:rStyle w:val="SubtleEmphasis"/>
          <w:i w:val="0"/>
          <w:color w:val="auto"/>
        </w:rPr>
        <w:t xml:space="preserve"> being</w:t>
      </w:r>
      <w:r w:rsidR="00BD2EC2" w:rsidRPr="00617ADF">
        <w:rPr>
          <w:rStyle w:val="SubtleEmphasis"/>
          <w:i w:val="0"/>
          <w:color w:val="auto"/>
        </w:rPr>
        <w:t xml:space="preserve"> skill level</w:t>
      </w:r>
      <w:r w:rsidR="00BF4FD4" w:rsidRPr="00617ADF">
        <w:rPr>
          <w:rStyle w:val="SubtleEmphasis"/>
          <w:i w:val="0"/>
          <w:color w:val="auto"/>
        </w:rPr>
        <w:t xml:space="preserve"> 1 (</w:t>
      </w:r>
      <w:r w:rsidRPr="00617ADF">
        <w:rPr>
          <w:rStyle w:val="SubtleEmphasis"/>
          <w:i w:val="0"/>
          <w:color w:val="auto"/>
        </w:rPr>
        <w:t>Engineering Managers</w:t>
      </w:r>
      <w:r w:rsidR="00B87379" w:rsidRPr="00617ADF">
        <w:rPr>
          <w:rStyle w:val="SubtleEmphasis"/>
          <w:i w:val="0"/>
          <w:color w:val="auto"/>
        </w:rPr>
        <w:t>).</w:t>
      </w:r>
    </w:p>
    <w:p w:rsidR="00455DA3" w:rsidRPr="0003043E" w:rsidRDefault="00455DA3" w:rsidP="00455DA3">
      <w:pPr>
        <w:rPr>
          <w:rFonts w:ascii="Cambria" w:eastAsia="Times New Roman" w:hAnsi="Cambria"/>
          <w:b/>
          <w:bCs/>
          <w:color w:val="365F91"/>
          <w:sz w:val="28"/>
          <w:szCs w:val="28"/>
          <w:highlight w:val="yellow"/>
        </w:rPr>
      </w:pPr>
      <w:r w:rsidRPr="0003043E">
        <w:rPr>
          <w:highlight w:val="yellow"/>
        </w:rPr>
        <w:br w:type="page"/>
      </w:r>
    </w:p>
    <w:p w:rsidR="00455DA3" w:rsidRPr="00C95546" w:rsidRDefault="00455DA3" w:rsidP="00455DA3">
      <w:pPr>
        <w:pStyle w:val="Heading1"/>
        <w:keepNext w:val="0"/>
        <w:spacing w:before="0" w:after="240" w:line="240" w:lineRule="auto"/>
        <w:contextualSpacing/>
        <w:rPr>
          <w:rFonts w:ascii="Calibri" w:eastAsiaTheme="majorEastAsia" w:hAnsi="Calibri" w:cstheme="majorBidi"/>
          <w:color w:val="003D6B"/>
          <w:sz w:val="36"/>
          <w:szCs w:val="36"/>
        </w:rPr>
      </w:pPr>
      <w:bookmarkStart w:id="13" w:name="_Toc425756970"/>
      <w:r w:rsidRPr="00C95546">
        <w:rPr>
          <w:rFonts w:ascii="Calibri" w:eastAsiaTheme="majorEastAsia" w:hAnsi="Calibri" w:cstheme="majorBidi"/>
          <w:color w:val="003D6B"/>
          <w:sz w:val="36"/>
          <w:szCs w:val="36"/>
        </w:rPr>
        <w:t xml:space="preserve">Projected employment growth by </w:t>
      </w:r>
      <w:r w:rsidR="00D87E33" w:rsidRPr="00C95546">
        <w:rPr>
          <w:rFonts w:ascii="Calibri" w:eastAsiaTheme="majorEastAsia" w:hAnsi="Calibri" w:cstheme="majorBidi"/>
          <w:color w:val="003D6B"/>
          <w:sz w:val="36"/>
          <w:szCs w:val="36"/>
        </w:rPr>
        <w:t>s</w:t>
      </w:r>
      <w:r w:rsidRPr="00C95546">
        <w:rPr>
          <w:rFonts w:ascii="Calibri" w:eastAsiaTheme="majorEastAsia" w:hAnsi="Calibri" w:cstheme="majorBidi"/>
          <w:color w:val="003D6B"/>
          <w:sz w:val="36"/>
          <w:szCs w:val="36"/>
        </w:rPr>
        <w:t xml:space="preserve">tate and </w:t>
      </w:r>
      <w:r w:rsidR="00D87E33" w:rsidRPr="00C95546">
        <w:rPr>
          <w:rFonts w:ascii="Calibri" w:eastAsiaTheme="majorEastAsia" w:hAnsi="Calibri" w:cstheme="majorBidi"/>
          <w:color w:val="003D6B"/>
          <w:sz w:val="36"/>
          <w:szCs w:val="36"/>
        </w:rPr>
        <w:t>t</w:t>
      </w:r>
      <w:r w:rsidRPr="00C95546">
        <w:rPr>
          <w:rFonts w:ascii="Calibri" w:eastAsiaTheme="majorEastAsia" w:hAnsi="Calibri" w:cstheme="majorBidi"/>
          <w:color w:val="003D6B"/>
          <w:sz w:val="36"/>
          <w:szCs w:val="36"/>
        </w:rPr>
        <w:t>erritory</w:t>
      </w:r>
      <w:bookmarkEnd w:id="13"/>
      <w:r w:rsidRPr="00C95546">
        <w:rPr>
          <w:rFonts w:ascii="Calibri" w:eastAsiaTheme="majorEastAsia" w:hAnsi="Calibri" w:cstheme="majorBidi"/>
          <w:color w:val="003D6B"/>
          <w:sz w:val="36"/>
          <w:szCs w:val="36"/>
        </w:rPr>
        <w:t xml:space="preserve"> </w:t>
      </w:r>
    </w:p>
    <w:p w:rsidR="00C95546" w:rsidRDefault="00455DA3" w:rsidP="00455DA3">
      <w:pPr>
        <w:jc w:val="both"/>
      </w:pPr>
      <w:r w:rsidRPr="00C95546">
        <w:t>Over the five years to November 201</w:t>
      </w:r>
      <w:r w:rsidR="00C95546" w:rsidRPr="00C95546">
        <w:t>9</w:t>
      </w:r>
      <w:r w:rsidRPr="00C95546">
        <w:t xml:space="preserve">, employment is projected to increase </w:t>
      </w:r>
      <w:r w:rsidR="00BD2EC2" w:rsidRPr="00C95546">
        <w:t>in</w:t>
      </w:r>
      <w:r w:rsidRPr="00C95546">
        <w:t xml:space="preserve"> all states and territories. </w:t>
      </w:r>
    </w:p>
    <w:p w:rsidR="00455DA3" w:rsidRPr="003024F0" w:rsidRDefault="00455DA3" w:rsidP="00455DA3">
      <w:pPr>
        <w:jc w:val="both"/>
      </w:pPr>
      <w:r w:rsidRPr="003024F0">
        <w:t xml:space="preserve">Against the backdrop of an expected decrease in Mining investment, employment growth in Western Australia and the Northern Territory is expected to slow from the rates recorded over the past five years. That said, employment growth is nonetheless expected to remain comparatively strong, </w:t>
      </w:r>
      <w:r w:rsidR="00216127">
        <w:t>with employment projected to increase</w:t>
      </w:r>
      <w:r w:rsidRPr="003024F0">
        <w:t xml:space="preserve"> by </w:t>
      </w:r>
      <w:r w:rsidR="00A359C7" w:rsidRPr="003024F0">
        <w:t>15,100</w:t>
      </w:r>
      <w:r w:rsidRPr="003024F0">
        <w:t xml:space="preserve"> (or </w:t>
      </w:r>
      <w:r w:rsidR="003024F0" w:rsidRPr="003024F0">
        <w:t>11.5</w:t>
      </w:r>
      <w:r w:rsidRPr="003024F0">
        <w:t xml:space="preserve"> per </w:t>
      </w:r>
      <w:r w:rsidR="00216127">
        <w:t>cent) in the Northern Territory</w:t>
      </w:r>
      <w:r w:rsidRPr="003024F0">
        <w:t xml:space="preserve"> and </w:t>
      </w:r>
      <w:r w:rsidR="00A359C7" w:rsidRPr="003024F0">
        <w:t>148,800</w:t>
      </w:r>
      <w:r w:rsidRPr="003024F0">
        <w:t xml:space="preserve"> (or </w:t>
      </w:r>
      <w:r w:rsidR="00A359C7" w:rsidRPr="003024F0">
        <w:t>10.7</w:t>
      </w:r>
      <w:r w:rsidRPr="003024F0">
        <w:t> per cent) in Western Australia</w:t>
      </w:r>
      <w:r w:rsidR="00A359C7" w:rsidRPr="003024F0">
        <w:t xml:space="preserve"> over the five years to November 2019.</w:t>
      </w:r>
    </w:p>
    <w:p w:rsidR="00455DA3" w:rsidRPr="004829C9" w:rsidRDefault="00455DA3" w:rsidP="00455DA3">
      <w:pPr>
        <w:jc w:val="both"/>
      </w:pPr>
      <w:r w:rsidRPr="004829C9">
        <w:t>New South Wales</w:t>
      </w:r>
      <w:r w:rsidR="00A359C7" w:rsidRPr="004829C9">
        <w:t>,</w:t>
      </w:r>
      <w:r w:rsidRPr="004829C9">
        <w:t xml:space="preserve"> Victoria</w:t>
      </w:r>
      <w:r w:rsidR="00A359C7" w:rsidRPr="004829C9">
        <w:t xml:space="preserve"> and Queensland</w:t>
      </w:r>
      <w:r w:rsidRPr="004829C9">
        <w:t xml:space="preserve"> are also projected to make large contributions to employment growth over</w:t>
      </w:r>
      <w:r w:rsidR="004829C9" w:rsidRPr="004829C9">
        <w:t xml:space="preserve"> the five years to November 2019</w:t>
      </w:r>
      <w:r w:rsidRPr="004829C9">
        <w:t>, with employm</w:t>
      </w:r>
      <w:r w:rsidR="004829C9" w:rsidRPr="004829C9">
        <w:t>ent projected to increase by 358,8</w:t>
      </w:r>
      <w:r w:rsidR="004B1404">
        <w:t>00 (or </w:t>
      </w:r>
      <w:r w:rsidR="004829C9" w:rsidRPr="004829C9">
        <w:t>9.9</w:t>
      </w:r>
      <w:r w:rsidR="004B1404">
        <w:t> </w:t>
      </w:r>
      <w:r w:rsidRPr="004829C9">
        <w:t>per cent) in New South Wales,</w:t>
      </w:r>
      <w:r w:rsidR="004D7155">
        <w:t xml:space="preserve"> by</w:t>
      </w:r>
      <w:r w:rsidRPr="004829C9">
        <w:t xml:space="preserve"> </w:t>
      </w:r>
      <w:r w:rsidR="004829C9" w:rsidRPr="004829C9">
        <w:t>308,7</w:t>
      </w:r>
      <w:r w:rsidRPr="004829C9">
        <w:t xml:space="preserve">00 (or </w:t>
      </w:r>
      <w:r w:rsidR="004829C9" w:rsidRPr="004829C9">
        <w:t>10.6</w:t>
      </w:r>
      <w:r w:rsidRPr="004829C9">
        <w:t xml:space="preserve"> per cent) in Victoria</w:t>
      </w:r>
      <w:r w:rsidR="004829C9" w:rsidRPr="004829C9">
        <w:t xml:space="preserve"> and </w:t>
      </w:r>
      <w:r w:rsidR="004D7155">
        <w:t xml:space="preserve">by </w:t>
      </w:r>
      <w:r w:rsidR="004B1404">
        <w:t>243,600 (or </w:t>
      </w:r>
      <w:r w:rsidR="004829C9" w:rsidRPr="004829C9">
        <w:t>1</w:t>
      </w:r>
      <w:r w:rsidR="004B1404">
        <w:t>0.4 per </w:t>
      </w:r>
      <w:r w:rsidR="004829C9" w:rsidRPr="004829C9">
        <w:t>cent) in Queensland</w:t>
      </w:r>
      <w:r w:rsidR="004D7155">
        <w:t>.</w:t>
      </w:r>
    </w:p>
    <w:p w:rsidR="00455DA3" w:rsidRPr="00FF2CB4" w:rsidRDefault="00455DA3" w:rsidP="00455DA3">
      <w:pPr>
        <w:jc w:val="both"/>
      </w:pPr>
      <w:r w:rsidRPr="004829C9">
        <w:t xml:space="preserve">Employment growth is projected to be </w:t>
      </w:r>
      <w:r w:rsidR="00A359C7" w:rsidRPr="004829C9">
        <w:t xml:space="preserve">more </w:t>
      </w:r>
      <w:r w:rsidR="00E449D8" w:rsidRPr="004829C9">
        <w:t xml:space="preserve">subdued in </w:t>
      </w:r>
      <w:r w:rsidRPr="004829C9">
        <w:t>South Australia (</w:t>
      </w:r>
      <w:r w:rsidR="00A359C7" w:rsidRPr="004829C9">
        <w:t xml:space="preserve">53,800 </w:t>
      </w:r>
      <w:r w:rsidRPr="004829C9">
        <w:t xml:space="preserve">or </w:t>
      </w:r>
      <w:r w:rsidR="00A359C7" w:rsidRPr="004829C9">
        <w:t>6.7</w:t>
      </w:r>
      <w:r w:rsidRPr="004829C9">
        <w:t xml:space="preserve"> per cent) </w:t>
      </w:r>
      <w:r w:rsidR="00C95546" w:rsidRPr="004829C9">
        <w:t xml:space="preserve">and Tasmania (up by </w:t>
      </w:r>
      <w:r w:rsidR="00A359C7" w:rsidRPr="004829C9">
        <w:t>17,800</w:t>
      </w:r>
      <w:r w:rsidR="004829C9">
        <w:t xml:space="preserve"> or 7.4</w:t>
      </w:r>
      <w:r w:rsidR="00C95546" w:rsidRPr="004829C9">
        <w:t xml:space="preserve"> per cent) </w:t>
      </w:r>
      <w:r w:rsidRPr="004829C9">
        <w:t xml:space="preserve">over the </w:t>
      </w:r>
      <w:r w:rsidRPr="00FF2CB4">
        <w:t>five years to November 201</w:t>
      </w:r>
      <w:r w:rsidR="00C95546" w:rsidRPr="00FF2CB4">
        <w:t>9</w:t>
      </w:r>
      <w:r w:rsidRPr="00FF2CB4">
        <w:t>, in line with the persistence of soft labour market conditions in these states. The Austral</w:t>
      </w:r>
      <w:r w:rsidR="00FF2CB4" w:rsidRPr="00FF2CB4">
        <w:t>ian Capital Territory (up by 19,900 or 9.3</w:t>
      </w:r>
      <w:r w:rsidRPr="00FF2CB4">
        <w:t xml:space="preserve"> per cent) is also projected to record a below average rate of growth, constrained by a projected slower rate of growth in Public Administration and Safety. </w:t>
      </w:r>
    </w:p>
    <w:p w:rsidR="00455DA3" w:rsidRPr="003024F0" w:rsidRDefault="00455DA3" w:rsidP="00A359C7">
      <w:pPr>
        <w:pStyle w:val="NoSpacing"/>
        <w:rPr>
          <w:b/>
        </w:rPr>
      </w:pPr>
      <w:r w:rsidRPr="003024F0">
        <w:rPr>
          <w:b/>
        </w:rPr>
        <w:t xml:space="preserve">Figure 7: Projected employment growth by </w:t>
      </w:r>
      <w:r w:rsidR="00D87E33" w:rsidRPr="003024F0">
        <w:rPr>
          <w:b/>
        </w:rPr>
        <w:t>s</w:t>
      </w:r>
      <w:r w:rsidRPr="003024F0">
        <w:rPr>
          <w:b/>
        </w:rPr>
        <w:t>tate/</w:t>
      </w:r>
      <w:r w:rsidR="00D87E33" w:rsidRPr="003024F0">
        <w:rPr>
          <w:b/>
        </w:rPr>
        <w:t>t</w:t>
      </w:r>
      <w:r w:rsidRPr="003024F0">
        <w:rPr>
          <w:b/>
        </w:rPr>
        <w:t>erritory – five years to November 201</w:t>
      </w:r>
      <w:r w:rsidR="00A359C7" w:rsidRPr="003024F0">
        <w:rPr>
          <w:b/>
        </w:rPr>
        <w:t>9</w:t>
      </w:r>
      <w:r w:rsidRPr="003024F0">
        <w:rPr>
          <w:b/>
        </w:rPr>
        <w:t xml:space="preserve"> (‘000)</w:t>
      </w:r>
    </w:p>
    <w:p w:rsidR="004829C9" w:rsidRPr="00A359C7" w:rsidRDefault="004829C9" w:rsidP="00A359C7">
      <w:pPr>
        <w:pStyle w:val="NoSpacing"/>
        <w:rPr>
          <w:b/>
          <w:highlight w:val="yellow"/>
        </w:rPr>
      </w:pPr>
      <w:r>
        <w:rPr>
          <w:b/>
          <w:noProof/>
          <w:lang w:eastAsia="en-AU"/>
        </w:rPr>
        <w:drawing>
          <wp:inline distT="0" distB="0" distL="0" distR="0" wp14:anchorId="59E76B03" wp14:editId="1E014375">
            <wp:extent cx="6092456" cy="3349866"/>
            <wp:effectExtent l="0" t="0" r="381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9275" cy="3353615"/>
                    </a:xfrm>
                    <a:prstGeom prst="rect">
                      <a:avLst/>
                    </a:prstGeom>
                    <a:noFill/>
                  </pic:spPr>
                </pic:pic>
              </a:graphicData>
            </a:graphic>
          </wp:inline>
        </w:drawing>
      </w:r>
    </w:p>
    <w:p w:rsidR="00455DA3" w:rsidRPr="0003043E" w:rsidRDefault="00455DA3" w:rsidP="00455DA3">
      <w:pPr>
        <w:pStyle w:val="Heading1"/>
        <w:spacing w:before="120" w:after="120"/>
        <w:jc w:val="both"/>
        <w:rPr>
          <w:color w:val="00746B"/>
          <w:highlight w:val="yellow"/>
        </w:rPr>
      </w:pPr>
    </w:p>
    <w:p w:rsidR="00455DA3" w:rsidRPr="0003043E" w:rsidRDefault="00455DA3" w:rsidP="00455DA3">
      <w:pPr>
        <w:spacing w:after="0" w:line="240" w:lineRule="auto"/>
        <w:rPr>
          <w:rFonts w:eastAsia="Batang" w:cs="Arial"/>
          <w:b/>
          <w:bCs/>
          <w:color w:val="00746B"/>
          <w:sz w:val="28"/>
          <w:szCs w:val="32"/>
          <w:highlight w:val="yellow"/>
        </w:rPr>
      </w:pPr>
      <w:r w:rsidRPr="0003043E">
        <w:rPr>
          <w:color w:val="00746B"/>
          <w:highlight w:val="yellow"/>
        </w:rPr>
        <w:br w:type="page"/>
      </w:r>
    </w:p>
    <w:p w:rsidR="00455DA3" w:rsidRPr="00E67FBA" w:rsidRDefault="00455DA3" w:rsidP="00455DA3">
      <w:pPr>
        <w:pStyle w:val="Heading1"/>
        <w:keepNext w:val="0"/>
        <w:spacing w:before="0" w:after="240" w:line="240" w:lineRule="auto"/>
        <w:contextualSpacing/>
        <w:rPr>
          <w:rFonts w:ascii="Calibri" w:eastAsiaTheme="majorEastAsia" w:hAnsi="Calibri" w:cstheme="majorBidi"/>
          <w:color w:val="003D6B"/>
          <w:sz w:val="36"/>
          <w:szCs w:val="36"/>
        </w:rPr>
      </w:pPr>
      <w:bookmarkStart w:id="14" w:name="_Toc425756971"/>
      <w:r w:rsidRPr="00E67FBA">
        <w:rPr>
          <w:rFonts w:ascii="Calibri" w:eastAsiaTheme="majorEastAsia" w:hAnsi="Calibri" w:cstheme="majorBidi"/>
          <w:color w:val="003D6B"/>
          <w:sz w:val="36"/>
          <w:szCs w:val="36"/>
        </w:rPr>
        <w:t>Projected employment growth by region</w:t>
      </w:r>
      <w:bookmarkEnd w:id="14"/>
      <w:r w:rsidRPr="00E67FBA">
        <w:rPr>
          <w:rFonts w:ascii="Calibri" w:eastAsiaTheme="majorEastAsia" w:hAnsi="Calibri" w:cstheme="majorBidi"/>
          <w:color w:val="003D6B"/>
          <w:sz w:val="36"/>
          <w:szCs w:val="36"/>
        </w:rPr>
        <w:t xml:space="preserve"> </w:t>
      </w:r>
    </w:p>
    <w:p w:rsidR="00C203AC" w:rsidRPr="00C203AC" w:rsidRDefault="00455DA3" w:rsidP="0077292D">
      <w:pPr>
        <w:jc w:val="both"/>
      </w:pPr>
      <w:r w:rsidRPr="00E67FBA">
        <w:t xml:space="preserve">Employment is projected to increase in all of the ABS </w:t>
      </w:r>
      <w:r w:rsidR="0077292D" w:rsidRPr="00E67FBA">
        <w:t xml:space="preserve">SA4 Regions </w:t>
      </w:r>
      <w:r w:rsidRPr="00E67FBA">
        <w:t>over</w:t>
      </w:r>
      <w:r w:rsidR="00E67FBA" w:rsidRPr="00E67FBA">
        <w:t xml:space="preserve"> the five years to November 2019</w:t>
      </w:r>
      <w:r w:rsidRPr="00E67FBA">
        <w:t>.</w:t>
      </w:r>
      <w:r w:rsidR="00E41330" w:rsidRPr="00E67FBA">
        <w:t xml:space="preserve"> Employment in metropolitan are</w:t>
      </w:r>
      <w:r w:rsidR="00E67FBA" w:rsidRPr="00E67FBA">
        <w:t xml:space="preserve">as is projected </w:t>
      </w:r>
      <w:r w:rsidR="00E67FBA" w:rsidRPr="00131693">
        <w:t>to increase by 10.7</w:t>
      </w:r>
      <w:r w:rsidR="00E41330" w:rsidRPr="00131693">
        <w:t xml:space="preserve"> per cent over the perio</w:t>
      </w:r>
      <w:r w:rsidR="00E67FBA" w:rsidRPr="00131693">
        <w:t xml:space="preserve">d, </w:t>
      </w:r>
      <w:r w:rsidR="00C203AC">
        <w:t xml:space="preserve">compared with </w:t>
      </w:r>
      <w:r w:rsidR="00E67FBA" w:rsidRPr="00131693">
        <w:t>8.5</w:t>
      </w:r>
      <w:r w:rsidR="00E41330" w:rsidRPr="00131693">
        <w:t xml:space="preserve"> per cent projected for regional Australia. </w:t>
      </w:r>
      <w:r w:rsidR="00BD2EC2" w:rsidRPr="00131693">
        <w:t>Of the metropolitan areas, e</w:t>
      </w:r>
      <w:r w:rsidR="00E41330" w:rsidRPr="00131693">
        <w:t xml:space="preserve">mployment growth is projected to be </w:t>
      </w:r>
      <w:r w:rsidR="00131693" w:rsidRPr="00131693">
        <w:t>strong</w:t>
      </w:r>
      <w:r w:rsidR="00C203AC">
        <w:t>est</w:t>
      </w:r>
      <w:r w:rsidR="00131693" w:rsidRPr="00131693">
        <w:t xml:space="preserve"> in Darwin (up by 10,000 or 12.6</w:t>
      </w:r>
      <w:r w:rsidR="00E41330" w:rsidRPr="00131693">
        <w:t xml:space="preserve"> </w:t>
      </w:r>
      <w:r w:rsidR="00E449D8" w:rsidRPr="00131693">
        <w:t>per cent) and</w:t>
      </w:r>
      <w:r w:rsidR="00E41330" w:rsidRPr="00131693">
        <w:t xml:space="preserve"> Greater Perth (</w:t>
      </w:r>
      <w:r w:rsidR="003A61A2">
        <w:t>13</w:t>
      </w:r>
      <w:r w:rsidR="00131693" w:rsidRPr="00131693">
        <w:t>0</w:t>
      </w:r>
      <w:r w:rsidR="00E41330" w:rsidRPr="00131693">
        <w:t>,</w:t>
      </w:r>
      <w:r w:rsidR="00131693" w:rsidRPr="00131693">
        <w:t>1</w:t>
      </w:r>
      <w:r w:rsidR="001C2CC0" w:rsidRPr="00131693">
        <w:t xml:space="preserve">00 or </w:t>
      </w:r>
      <w:r w:rsidR="004B1404">
        <w:t>12.0 per </w:t>
      </w:r>
      <w:r w:rsidR="00131693" w:rsidRPr="00131693">
        <w:t>cent)</w:t>
      </w:r>
      <w:r w:rsidR="002C31AF">
        <w:t>, while</w:t>
      </w:r>
      <w:r w:rsidR="00131693" w:rsidRPr="00131693">
        <w:t xml:space="preserve"> </w:t>
      </w:r>
      <w:r w:rsidR="002C31AF">
        <w:t xml:space="preserve">below average growth is </w:t>
      </w:r>
      <w:r w:rsidR="00131693" w:rsidRPr="00131693">
        <w:t xml:space="preserve">projected </w:t>
      </w:r>
      <w:r w:rsidR="002C31AF">
        <w:t xml:space="preserve">for </w:t>
      </w:r>
      <w:r w:rsidR="00131693" w:rsidRPr="00131693">
        <w:t xml:space="preserve">Greater Adelaide (42,600 or 6.8 per cent) and Greater Hobart (8,600 or 8.1 per cent). </w:t>
      </w:r>
      <w:r w:rsidR="003A61A2">
        <w:t>Of the regional areas, employment growth is projected to be strongest in regional Queensland (115,800 or 9.8 per cent) and Northern Te</w:t>
      </w:r>
      <w:r w:rsidR="004B1404">
        <w:t>rritory – Outback (5,000 or 9.7 </w:t>
      </w:r>
      <w:r w:rsidR="003A61A2">
        <w:t xml:space="preserve">per cent), just below the national average of 10.0 per cent. </w:t>
      </w:r>
      <w:r w:rsidR="002C31AF">
        <w:t xml:space="preserve">In contrast to the strong growth projected for Greater Perth, </w:t>
      </w:r>
      <w:r w:rsidR="004B1071">
        <w:t xml:space="preserve">employment growth is projected to be </w:t>
      </w:r>
      <w:r w:rsidR="003A61A2">
        <w:t xml:space="preserve">weakest </w:t>
      </w:r>
      <w:r w:rsidR="004B1071">
        <w:t xml:space="preserve">in </w:t>
      </w:r>
      <w:r w:rsidR="002C31AF">
        <w:t xml:space="preserve">Regional Western Australia </w:t>
      </w:r>
      <w:r w:rsidR="00C203AC">
        <w:t>(18,700 or 6.2 per cent)</w:t>
      </w:r>
      <w:r w:rsidR="004B1071">
        <w:t xml:space="preserve">, followed by Regional </w:t>
      </w:r>
      <w:r w:rsidR="009A05C6">
        <w:t>South Australia (11,200 or 6.4</w:t>
      </w:r>
      <w:r w:rsidR="004B1071">
        <w:t xml:space="preserve"> per cent)</w:t>
      </w:r>
      <w:r w:rsidR="00C203AC">
        <w:t xml:space="preserve">. </w:t>
      </w:r>
    </w:p>
    <w:p w:rsidR="00455DA3" w:rsidRPr="0003043E" w:rsidRDefault="00E41330" w:rsidP="0077292D">
      <w:pPr>
        <w:jc w:val="both"/>
        <w:rPr>
          <w:highlight w:val="yellow"/>
        </w:rPr>
      </w:pPr>
      <w:r w:rsidRPr="00F42F33">
        <w:t>At the more detailed regional level, e</w:t>
      </w:r>
      <w:r w:rsidR="00455DA3" w:rsidRPr="00F42F33">
        <w:t>mployment grow</w:t>
      </w:r>
      <w:r w:rsidR="00E449D8" w:rsidRPr="00F42F33">
        <w:t>th is projected to be strongest</w:t>
      </w:r>
      <w:r w:rsidR="00455DA3" w:rsidRPr="00F42F33">
        <w:t xml:space="preserve"> </w:t>
      </w:r>
      <w:r w:rsidR="00E449D8" w:rsidRPr="00F42F33">
        <w:t>(in percentage terms)</w:t>
      </w:r>
      <w:r w:rsidR="00455DA3" w:rsidRPr="00F42F33">
        <w:t xml:space="preserve"> in Sydney </w:t>
      </w:r>
      <w:r w:rsidR="00F42F33">
        <w:t xml:space="preserve">- </w:t>
      </w:r>
      <w:r w:rsidR="00455DA3" w:rsidRPr="00F42F33">
        <w:t xml:space="preserve">City and Inner South </w:t>
      </w:r>
      <w:r w:rsidR="00F42F33" w:rsidRPr="00F42F33">
        <w:t>(up by 27,500 or 15.2</w:t>
      </w:r>
      <w:r w:rsidR="00E449D8" w:rsidRPr="00F42F33">
        <w:t xml:space="preserve"> per cent) and</w:t>
      </w:r>
      <w:r w:rsidR="00455DA3" w:rsidRPr="00F42F33">
        <w:t xml:space="preserve"> </w:t>
      </w:r>
      <w:r w:rsidR="00F42F33" w:rsidRPr="00F42F33">
        <w:t>Gold Coast in Queensland (45,000 or 15.5</w:t>
      </w:r>
      <w:r w:rsidR="00455DA3" w:rsidRPr="00F42F33">
        <w:t xml:space="preserve"> per </w:t>
      </w:r>
      <w:r w:rsidR="00455DA3" w:rsidRPr="004B1071">
        <w:t>cent),</w:t>
      </w:r>
      <w:r w:rsidR="00E449D8" w:rsidRPr="004B1071">
        <w:t xml:space="preserve"> while </w:t>
      </w:r>
      <w:r w:rsidR="00455DA3" w:rsidRPr="004B1071">
        <w:t>the largest projected increase</w:t>
      </w:r>
      <w:r w:rsidR="004B1071" w:rsidRPr="004B1071">
        <w:t>s</w:t>
      </w:r>
      <w:r w:rsidR="00455DA3" w:rsidRPr="004B1071">
        <w:t xml:space="preserve"> in employment</w:t>
      </w:r>
      <w:r w:rsidR="00E449D8" w:rsidRPr="004B1071">
        <w:t xml:space="preserve"> (in thousands)</w:t>
      </w:r>
      <w:r w:rsidR="00455DA3" w:rsidRPr="004B1071">
        <w:t xml:space="preserve"> </w:t>
      </w:r>
      <w:r w:rsidR="004B1071" w:rsidRPr="004B1071">
        <w:t>are</w:t>
      </w:r>
      <w:r w:rsidR="004B1404">
        <w:t xml:space="preserve"> for </w:t>
      </w:r>
      <w:r w:rsidR="004B1404">
        <w:br/>
        <w:t>Melbourne –</w:t>
      </w:r>
      <w:r w:rsidR="004B1071" w:rsidRPr="004B1071">
        <w:t>West (49,900 or 13.8</w:t>
      </w:r>
      <w:r w:rsidR="00455DA3" w:rsidRPr="004B1071">
        <w:t xml:space="preserve"> per cent)</w:t>
      </w:r>
      <w:r w:rsidR="004B1071" w:rsidRPr="004B1071">
        <w:t xml:space="preserve"> and Melbourne – South East (46,000 or 13.5 per cent)</w:t>
      </w:r>
      <w:r w:rsidR="00455DA3" w:rsidRPr="004B1071">
        <w:t>.</w:t>
      </w:r>
      <w:r w:rsidR="0077292D" w:rsidRPr="004B1071">
        <w:t xml:space="preserve"> </w:t>
      </w:r>
      <w:r w:rsidR="00455DA3" w:rsidRPr="004B1071">
        <w:t xml:space="preserve">By contrast, employment growth is projected to be slowest, in percentage terms, in </w:t>
      </w:r>
      <w:r w:rsidR="004B1071" w:rsidRPr="004B1071">
        <w:t>Que</w:t>
      </w:r>
      <w:r w:rsidR="004B1404">
        <w:t>ensland – Outback (1,100 or 2.2 </w:t>
      </w:r>
      <w:r w:rsidR="004B1071" w:rsidRPr="004B1071">
        <w:t xml:space="preserve">per cent), </w:t>
      </w:r>
      <w:r w:rsidR="00455DA3" w:rsidRPr="004B1071">
        <w:t>Western Australia - W</w:t>
      </w:r>
      <w:r w:rsidR="00015675" w:rsidRPr="004B1071">
        <w:t>h</w:t>
      </w:r>
      <w:r w:rsidR="00632683" w:rsidRPr="004B1071">
        <w:t>eat Belt (</w:t>
      </w:r>
      <w:r w:rsidR="004B1071" w:rsidRPr="004B1071">
        <w:t>3,000</w:t>
      </w:r>
      <w:r w:rsidR="00632683" w:rsidRPr="004B1071">
        <w:t xml:space="preserve"> or </w:t>
      </w:r>
      <w:r w:rsidR="004B1071" w:rsidRPr="004B1071">
        <w:t>4.5</w:t>
      </w:r>
      <w:r w:rsidR="00632683" w:rsidRPr="004B1071">
        <w:t> per</w:t>
      </w:r>
      <w:r w:rsidR="00015675" w:rsidRPr="004B1071">
        <w:t> </w:t>
      </w:r>
      <w:r w:rsidR="00455DA3" w:rsidRPr="004B1071">
        <w:t>cent)</w:t>
      </w:r>
      <w:r w:rsidR="004B1071" w:rsidRPr="004B1071">
        <w:t>, and Victoria – North West (3,700 or 4.9 per cent)</w:t>
      </w:r>
      <w:r w:rsidR="00455DA3" w:rsidRPr="004B1071">
        <w:t>.</w:t>
      </w:r>
      <w:r w:rsidR="0077292D" w:rsidRPr="004B1071">
        <w:t xml:space="preserve"> </w:t>
      </w:r>
    </w:p>
    <w:p w:rsidR="00455DA3" w:rsidRDefault="00455DA3" w:rsidP="0077292D">
      <w:pPr>
        <w:pStyle w:val="NoSpacing"/>
        <w:rPr>
          <w:b/>
        </w:rPr>
      </w:pPr>
      <w:r w:rsidRPr="00134177">
        <w:rPr>
          <w:b/>
        </w:rPr>
        <w:t xml:space="preserve">Figure 8: </w:t>
      </w:r>
      <w:r w:rsidR="0077292D" w:rsidRPr="00134177">
        <w:rPr>
          <w:b/>
        </w:rPr>
        <w:t>Projected employment growth by region</w:t>
      </w:r>
      <w:r w:rsidR="004D7155">
        <w:rPr>
          <w:b/>
        </w:rPr>
        <w:t xml:space="preserve"> </w:t>
      </w:r>
      <w:r w:rsidR="00134177" w:rsidRPr="00134177">
        <w:rPr>
          <w:b/>
        </w:rPr>
        <w:t>– five years to November 2019</w:t>
      </w:r>
      <w:r w:rsidRPr="00134177">
        <w:rPr>
          <w:b/>
        </w:rPr>
        <w:t xml:space="preserve"> (</w:t>
      </w:r>
      <w:r w:rsidR="0077292D" w:rsidRPr="00134177">
        <w:rPr>
          <w:b/>
        </w:rPr>
        <w:t>%</w:t>
      </w:r>
      <w:r w:rsidRPr="00134177">
        <w:rPr>
          <w:b/>
        </w:rPr>
        <w:t>)</w:t>
      </w:r>
    </w:p>
    <w:p w:rsidR="00C570ED" w:rsidRDefault="00C570ED" w:rsidP="0077292D">
      <w:pPr>
        <w:pStyle w:val="NoSpacing"/>
        <w:rPr>
          <w:b/>
        </w:rPr>
      </w:pPr>
    </w:p>
    <w:p w:rsidR="00C570ED" w:rsidRDefault="00C570ED" w:rsidP="0077292D">
      <w:pPr>
        <w:pStyle w:val="NoSpacing"/>
        <w:rPr>
          <w:b/>
        </w:rPr>
      </w:pPr>
      <w:r>
        <w:rPr>
          <w:b/>
          <w:noProof/>
          <w:lang w:eastAsia="en-AU"/>
        </w:rPr>
        <w:drawing>
          <wp:inline distT="0" distB="0" distL="0" distR="0">
            <wp:extent cx="6096000" cy="4851917"/>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map.BMP"/>
                    <pic:cNvPicPr/>
                  </pic:nvPicPr>
                  <pic:blipFill rotWithShape="1">
                    <a:blip r:embed="rId17">
                      <a:extLst>
                        <a:ext uri="{28A0092B-C50C-407E-A947-70E740481C1C}">
                          <a14:useLocalDpi xmlns:a14="http://schemas.microsoft.com/office/drawing/2010/main" val="0"/>
                        </a:ext>
                      </a:extLst>
                    </a:blip>
                    <a:srcRect l="9031" t="5727" r="14643" b="8347"/>
                    <a:stretch/>
                  </pic:blipFill>
                  <pic:spPr bwMode="auto">
                    <a:xfrm>
                      <a:off x="0" y="0"/>
                      <a:ext cx="6101212" cy="48560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455DA3" w:rsidRPr="0003043E" w:rsidRDefault="00455DA3" w:rsidP="00C570ED">
      <w:pPr>
        <w:rPr>
          <w:highlight w:val="yellow"/>
        </w:rPr>
      </w:pPr>
    </w:p>
    <w:p w:rsidR="00455DA3" w:rsidRPr="00A15C2D" w:rsidRDefault="00455DA3" w:rsidP="00455DA3">
      <w:pPr>
        <w:pStyle w:val="Heading1"/>
        <w:keepNext w:val="0"/>
        <w:spacing w:before="0" w:after="240" w:line="240" w:lineRule="auto"/>
        <w:contextualSpacing/>
        <w:rPr>
          <w:rFonts w:ascii="Calibri" w:eastAsiaTheme="majorEastAsia" w:hAnsi="Calibri" w:cstheme="majorBidi"/>
          <w:color w:val="003D6B"/>
          <w:sz w:val="36"/>
          <w:szCs w:val="36"/>
        </w:rPr>
      </w:pPr>
      <w:bookmarkStart w:id="15" w:name="_Toc425756972"/>
      <w:r w:rsidRPr="005A5E65">
        <w:rPr>
          <w:rFonts w:ascii="Calibri" w:eastAsiaTheme="majorEastAsia" w:hAnsi="Calibri" w:cstheme="majorBidi"/>
          <w:color w:val="003D6B"/>
          <w:sz w:val="36"/>
          <w:szCs w:val="36"/>
        </w:rPr>
        <w:t>Background and methodology</w:t>
      </w:r>
      <w:bookmarkEnd w:id="15"/>
    </w:p>
    <w:p w:rsidR="00455DA3" w:rsidRPr="00A15C2D" w:rsidRDefault="00455DA3" w:rsidP="00455DA3">
      <w:pPr>
        <w:jc w:val="both"/>
      </w:pPr>
      <w:r w:rsidRPr="00A15C2D">
        <w:t>Each year, the Department of Employment produces employment projections by industry, occupation</w:t>
      </w:r>
      <w:r w:rsidR="00506209" w:rsidRPr="00A15C2D">
        <w:t>,</w:t>
      </w:r>
      <w:r w:rsidR="00BD2EC2" w:rsidRPr="00A15C2D">
        <w:t xml:space="preserve"> skill level</w:t>
      </w:r>
      <w:r w:rsidRPr="00A15C2D">
        <w:t xml:space="preserve"> and region for the following five years, the latest being the five years to November 201</w:t>
      </w:r>
      <w:r w:rsidR="00A15C2D" w:rsidRPr="00A15C2D">
        <w:t>9</w:t>
      </w:r>
      <w:r w:rsidRPr="00A15C2D">
        <w:t xml:space="preserve">. These projections are designed to provide a guide to the future direction of </w:t>
      </w:r>
      <w:r w:rsidR="00E449D8" w:rsidRPr="00A15C2D">
        <w:t>the labour market. H</w:t>
      </w:r>
      <w:r w:rsidRPr="00A15C2D">
        <w:t>owever, like all such exercises, they are subject to an inherent degree of uncertainty. While all efforts have been made to ensure these projections are as accurate as possible, due to the volatile nature of the data and the la</w:t>
      </w:r>
      <w:r w:rsidR="00E449D8" w:rsidRPr="00A15C2D">
        <w:t>rge number of very small series</w:t>
      </w:r>
      <w:r w:rsidR="00225693" w:rsidRPr="00A15C2D">
        <w:t>,</w:t>
      </w:r>
      <w:r w:rsidRPr="00A15C2D">
        <w:t xml:space="preserve"> caution should be exercised when using these projections. </w:t>
      </w:r>
    </w:p>
    <w:p w:rsidR="00455DA3" w:rsidRPr="00A15C2D" w:rsidRDefault="00455DA3" w:rsidP="00455DA3">
      <w:pPr>
        <w:jc w:val="both"/>
      </w:pPr>
      <w:r w:rsidRPr="00A15C2D">
        <w:t xml:space="preserve">The projections have been derived from best practice time series models that summarise the information that is in a time series and convert it into a forecast. The projections are made by combining forecasts from autoregressive integrated moving average (ARIMA) and exponential smoothing with damped trend (ESWDT) models, with some adjustments made to take account of research undertaken by the Department of Employment and known future </w:t>
      </w:r>
      <w:r w:rsidR="00E449D8" w:rsidRPr="00A15C2D">
        <w:t xml:space="preserve">regional and </w:t>
      </w:r>
      <w:r w:rsidRPr="00A15C2D">
        <w:t>industry developments. These projections are produced using detailed data from the Australian Bureau of Statis</w:t>
      </w:r>
      <w:r w:rsidR="004236D8" w:rsidRPr="00A15C2D">
        <w:t>tics (ABS) Labour Force Survey</w:t>
      </w:r>
      <w:r w:rsidR="00E449D8" w:rsidRPr="00A15C2D">
        <w:t xml:space="preserve">, and </w:t>
      </w:r>
      <w:r w:rsidR="00E449D8" w:rsidRPr="00A15C2D">
        <w:rPr>
          <w:lang w:val="en" w:eastAsia="en-AU"/>
        </w:rPr>
        <w:t>do not reflect labour market developments since November 201</w:t>
      </w:r>
      <w:r w:rsidR="00A15C2D" w:rsidRPr="00A15C2D">
        <w:rPr>
          <w:lang w:val="en" w:eastAsia="en-AU"/>
        </w:rPr>
        <w:t>4</w:t>
      </w:r>
      <w:r w:rsidR="00E449D8" w:rsidRPr="00A15C2D">
        <w:rPr>
          <w:lang w:val="en" w:eastAsia="en-AU"/>
        </w:rPr>
        <w:t xml:space="preserve">, </w:t>
      </w:r>
      <w:r w:rsidR="00BD2EC2" w:rsidRPr="00A15C2D">
        <w:rPr>
          <w:lang w:val="en" w:eastAsia="en-AU"/>
        </w:rPr>
        <w:t>the month of data upon which the projections are based</w:t>
      </w:r>
      <w:r w:rsidR="00E449D8" w:rsidRPr="00A15C2D">
        <w:t>.</w:t>
      </w:r>
      <w:r w:rsidR="00A15C2D" w:rsidRPr="00A15C2D">
        <w:t xml:space="preserve"> </w:t>
      </w:r>
      <w:r w:rsidR="00015675" w:rsidRPr="00A15C2D">
        <w:t>T</w:t>
      </w:r>
      <w:r w:rsidRPr="00A15C2D">
        <w:t xml:space="preserve">he projection for total employment growth is consistent with the Government’s forecasts and projections for total employment growth, as published in the latest Mid-Year Economic and Fiscal Outlook (MYEFO). </w:t>
      </w:r>
    </w:p>
    <w:p w:rsidR="00455DA3" w:rsidRPr="00A15C2D" w:rsidRDefault="00455DA3" w:rsidP="00455DA3">
      <w:pPr>
        <w:jc w:val="both"/>
      </w:pPr>
      <w:r w:rsidRPr="00A15C2D">
        <w:t>The projections for total employment by state and territory are not directly comparable with the forecasts and projections published in state and territory budgets, which typically have shorter forecast horizons and different base periods. The Department of Employment’s projections are also medium term and point-in-time projections, and are thus not indicative of expected employment growth in the short term.</w:t>
      </w:r>
    </w:p>
    <w:p w:rsidR="00455DA3" w:rsidRPr="00A15C2D" w:rsidRDefault="00455DA3" w:rsidP="00455DA3">
      <w:pPr>
        <w:jc w:val="both"/>
      </w:pPr>
      <w:r w:rsidRPr="00A15C2D">
        <w:t xml:space="preserve">Further information on Department of Employment’s projections, including downloadable spreadsheets, can be found at: </w:t>
      </w:r>
      <w:hyperlink r:id="rId18" w:history="1">
        <w:r w:rsidRPr="00A15C2D">
          <w:rPr>
            <w:rStyle w:val="Hyperlink"/>
          </w:rPr>
          <w:t>http://lmip.gov.au/default.aspx?LMIP/EmploymentProjections</w:t>
        </w:r>
      </w:hyperlink>
    </w:p>
    <w:p w:rsidR="00455DA3" w:rsidRPr="00A15C2D" w:rsidRDefault="00455DA3" w:rsidP="0084722A">
      <w:pPr>
        <w:spacing w:after="0"/>
        <w:jc w:val="both"/>
      </w:pPr>
      <w:r w:rsidRPr="00A15C2D">
        <w:t xml:space="preserve">Additional labour market information can be obtained from the following links: </w:t>
      </w:r>
    </w:p>
    <w:p w:rsidR="00455DA3" w:rsidRPr="00A15C2D" w:rsidRDefault="00455DA3" w:rsidP="0084722A">
      <w:pPr>
        <w:pStyle w:val="ListParagraph"/>
        <w:numPr>
          <w:ilvl w:val="0"/>
          <w:numId w:val="13"/>
        </w:numPr>
        <w:spacing w:before="120" w:after="0"/>
        <w:ind w:left="714" w:hanging="357"/>
        <w:jc w:val="both"/>
      </w:pPr>
      <w:r w:rsidRPr="00A15C2D">
        <w:t xml:space="preserve">Job Outlook </w:t>
      </w:r>
      <w:r w:rsidRPr="00A15C2D">
        <w:rPr>
          <w:rStyle w:val="Hyperlink"/>
          <w:u w:val="none"/>
        </w:rPr>
        <w:t>(</w:t>
      </w:r>
      <w:hyperlink r:id="rId19" w:history="1">
        <w:r w:rsidRPr="00A15C2D">
          <w:rPr>
            <w:rStyle w:val="Hyperlink"/>
          </w:rPr>
          <w:t>joboutlook.gov.au</w:t>
        </w:r>
      </w:hyperlink>
      <w:r w:rsidRPr="00A15C2D">
        <w:rPr>
          <w:rStyle w:val="Hyperlink"/>
          <w:u w:val="none"/>
        </w:rPr>
        <w:t>)</w:t>
      </w:r>
    </w:p>
    <w:p w:rsidR="00455DA3" w:rsidRPr="00A15C2D" w:rsidRDefault="00455DA3" w:rsidP="00455DA3">
      <w:pPr>
        <w:pStyle w:val="ListParagraph"/>
        <w:numPr>
          <w:ilvl w:val="0"/>
          <w:numId w:val="13"/>
        </w:numPr>
        <w:spacing w:after="120"/>
        <w:jc w:val="both"/>
      </w:pPr>
      <w:r w:rsidRPr="00A15C2D">
        <w:t xml:space="preserve">Labour Market Information Portal (LMIP) </w:t>
      </w:r>
      <w:r w:rsidRPr="00A15C2D">
        <w:rPr>
          <w:rStyle w:val="Hyperlink"/>
          <w:u w:val="none"/>
        </w:rPr>
        <w:t>(</w:t>
      </w:r>
      <w:hyperlink r:id="rId20" w:history="1">
        <w:r w:rsidRPr="00A15C2D">
          <w:rPr>
            <w:rStyle w:val="Hyperlink"/>
          </w:rPr>
          <w:t>http://lmip.gov.au</w:t>
        </w:r>
      </w:hyperlink>
      <w:r w:rsidRPr="00A15C2D">
        <w:t xml:space="preserve">) </w:t>
      </w:r>
    </w:p>
    <w:p w:rsidR="00455DA3" w:rsidRPr="00A15C2D" w:rsidRDefault="00A15C2D" w:rsidP="00A15C2D">
      <w:pPr>
        <w:pStyle w:val="ListParagraph"/>
        <w:numPr>
          <w:ilvl w:val="0"/>
          <w:numId w:val="13"/>
        </w:numPr>
        <w:spacing w:after="120"/>
        <w:jc w:val="both"/>
      </w:pPr>
      <w:r w:rsidRPr="00A15C2D">
        <w:t xml:space="preserve">Australian Jobs </w:t>
      </w:r>
      <w:r w:rsidR="00455DA3" w:rsidRPr="00A15C2D">
        <w:t>(</w:t>
      </w:r>
      <w:hyperlink r:id="rId21" w:history="1">
        <w:r w:rsidRPr="00A15C2D">
          <w:rPr>
            <w:rStyle w:val="Hyperlink"/>
          </w:rPr>
          <w:t>http://docs.employment.gov.au/system/files/doc/other/australian_jobs_2015.pdf</w:t>
        </w:r>
      </w:hyperlink>
      <w:r w:rsidR="00BD2EC2" w:rsidRPr="00A15C2D">
        <w:t>)</w:t>
      </w:r>
      <w:r w:rsidR="00455DA3" w:rsidRPr="00A15C2D">
        <w:t xml:space="preserve">  </w:t>
      </w:r>
    </w:p>
    <w:p w:rsidR="00455DA3" w:rsidRPr="0059117E" w:rsidRDefault="00455DA3" w:rsidP="00455DA3">
      <w:pPr>
        <w:spacing w:before="120" w:after="0"/>
        <w:jc w:val="both"/>
      </w:pPr>
      <w:r w:rsidRPr="00A15C2D">
        <w:t xml:space="preserve">For further information, please contact Carmel O’Regan (02 6240 2599) or email </w:t>
      </w:r>
      <w:r w:rsidRPr="00A15C2D">
        <w:rPr>
          <w:b/>
        </w:rPr>
        <w:t>carmel.oregan@employment.gov.au</w:t>
      </w:r>
      <w:r w:rsidRPr="00A15C2D">
        <w:t>. Any media enquiries should be directed to the Department of Employment media unit (</w:t>
      </w:r>
      <w:r w:rsidRPr="00A15C2D">
        <w:rPr>
          <w:b/>
        </w:rPr>
        <w:t>media@employment.gov.au</w:t>
      </w:r>
      <w:r w:rsidRPr="00A15C2D">
        <w:t>).</w:t>
      </w:r>
    </w:p>
    <w:p w:rsidR="00455DA3" w:rsidRPr="0059117E" w:rsidRDefault="00455DA3" w:rsidP="00455DA3">
      <w:pPr>
        <w:jc w:val="both"/>
      </w:pPr>
    </w:p>
    <w:p w:rsidR="004236D8" w:rsidRPr="0059117E" w:rsidRDefault="004236D8" w:rsidP="00455DA3">
      <w:pPr>
        <w:jc w:val="both"/>
      </w:pPr>
    </w:p>
    <w:p w:rsidR="001C2CC0" w:rsidRPr="0059117E" w:rsidRDefault="001C2CC0" w:rsidP="00455DA3">
      <w:pPr>
        <w:jc w:val="both"/>
      </w:pPr>
    </w:p>
    <w:p w:rsidR="00455DA3" w:rsidRPr="0059117E" w:rsidRDefault="00455DA3" w:rsidP="00455DA3">
      <w:pPr>
        <w:jc w:val="both"/>
      </w:pPr>
      <w:r w:rsidRPr="0059117E">
        <w:t>Labour Market Research and Analysis Branch</w:t>
      </w:r>
    </w:p>
    <w:p w:rsidR="00455DA3" w:rsidRPr="0056511C" w:rsidRDefault="00455DA3" w:rsidP="00455DA3">
      <w:pPr>
        <w:jc w:val="both"/>
      </w:pPr>
      <w:r w:rsidRPr="0056511C">
        <w:t>Department of Employment</w:t>
      </w:r>
    </w:p>
    <w:p w:rsidR="004974D8" w:rsidRPr="004974D8" w:rsidRDefault="008C4964" w:rsidP="00B364F5">
      <w:pPr>
        <w:spacing w:after="0" w:line="240" w:lineRule="auto"/>
        <w:jc w:val="both"/>
        <w:rPr>
          <w:rStyle w:val="SubtleEmphasis"/>
          <w:i w:val="0"/>
          <w:iCs w:val="0"/>
          <w:color w:val="auto"/>
        </w:rPr>
      </w:pPr>
      <w:r>
        <w:t>August</w:t>
      </w:r>
      <w:r w:rsidR="0003043E" w:rsidRPr="0056511C">
        <w:t xml:space="preserve"> 2015</w:t>
      </w:r>
    </w:p>
    <w:sectPr w:rsidR="004974D8" w:rsidRPr="004974D8" w:rsidSect="0047747C">
      <w:headerReference w:type="default" r:id="rId22"/>
      <w:footerReference w:type="default" r:id="rId23"/>
      <w:footerReference w:type="first" r:id="rId24"/>
      <w:type w:val="continuous"/>
      <w:pgSz w:w="11906" w:h="16838"/>
      <w:pgMar w:top="964" w:right="1134" w:bottom="28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2BB" w:rsidRDefault="009142BB" w:rsidP="00930C49">
      <w:pPr>
        <w:spacing w:after="0" w:line="240" w:lineRule="auto"/>
      </w:pPr>
      <w:r>
        <w:separator/>
      </w:r>
    </w:p>
  </w:endnote>
  <w:endnote w:type="continuationSeparator" w:id="0">
    <w:p w:rsidR="009142BB" w:rsidRDefault="009142BB" w:rsidP="0093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DA3" w:rsidRDefault="00455DA3" w:rsidP="00F26BDE">
    <w:pPr>
      <w:pStyle w:val="Footer"/>
      <w:ind w:left="-142"/>
    </w:pPr>
    <w:r>
      <w:rPr>
        <w:rFonts w:ascii="Arial" w:hAnsi="Arial" w:cs="Arial"/>
        <w:b/>
        <w:bCs/>
        <w:color w:val="000000"/>
        <w:sz w:val="20"/>
        <w:szCs w:val="20"/>
        <w:lang w:val="en-US"/>
      </w:rPr>
      <w:t>ISSN 22</w:t>
    </w:r>
    <w:r w:rsidRPr="00EA1FE9">
      <w:rPr>
        <w:rFonts w:ascii="Arial" w:hAnsi="Arial" w:cs="Arial"/>
        <w:b/>
        <w:bCs/>
        <w:color w:val="000000"/>
        <w:sz w:val="20"/>
        <w:szCs w:val="20"/>
        <w:lang w:val="en-US"/>
      </w:rPr>
      <w:t>0</w:t>
    </w:r>
    <w:r w:rsidR="004B3D62">
      <w:rPr>
        <w:rFonts w:ascii="Arial" w:hAnsi="Arial" w:cs="Arial"/>
        <w:b/>
        <w:bCs/>
        <w:color w:val="000000"/>
        <w:sz w:val="20"/>
        <w:szCs w:val="20"/>
        <w:lang w:val="en-US"/>
      </w:rPr>
      <w:t>2</w:t>
    </w:r>
    <w:r>
      <w:rPr>
        <w:rFonts w:ascii="Arial" w:hAnsi="Arial" w:cs="Arial"/>
        <w:b/>
        <w:bCs/>
        <w:color w:val="000000"/>
        <w:sz w:val="20"/>
        <w:szCs w:val="20"/>
        <w:lang w:val="en-US"/>
      </w:rPr>
      <w:t>-</w:t>
    </w:r>
    <w:r w:rsidR="004B3D62">
      <w:rPr>
        <w:rFonts w:ascii="Arial" w:hAnsi="Arial" w:cs="Arial"/>
        <w:b/>
        <w:bCs/>
        <w:color w:val="000000"/>
        <w:sz w:val="20"/>
        <w:szCs w:val="20"/>
        <w:lang w:val="en-US"/>
      </w:rPr>
      <w:t>6916</w:t>
    </w:r>
  </w:p>
  <w:p w:rsidR="00455DA3" w:rsidRDefault="00455DA3" w:rsidP="003242B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F" w:rsidRDefault="00D36B16" w:rsidP="007F669C">
    <w:pPr>
      <w:pStyle w:val="Footer"/>
      <w:tabs>
        <w:tab w:val="clear" w:pos="9026"/>
        <w:tab w:val="right" w:pos="8647"/>
      </w:tabs>
      <w:ind w:firstLine="720"/>
      <w:jc w:val="right"/>
    </w:pPr>
    <w:sdt>
      <w:sdtPr>
        <w:id w:val="995623087"/>
        <w:docPartObj>
          <w:docPartGallery w:val="Page Numbers (Bottom of Page)"/>
          <w:docPartUnique/>
        </w:docPartObj>
      </w:sdtPr>
      <w:sdtEndPr>
        <w:rPr>
          <w:noProof/>
        </w:rPr>
      </w:sdtEndPr>
      <w:sdtContent>
        <w:r w:rsidR="00416F1F">
          <w:fldChar w:fldCharType="begin"/>
        </w:r>
        <w:r w:rsidR="00416F1F">
          <w:instrText xml:space="preserve"> PAGE   \* MERGEFORMAT </w:instrText>
        </w:r>
        <w:r w:rsidR="00416F1F">
          <w:fldChar w:fldCharType="separate"/>
        </w:r>
        <w:r>
          <w:rPr>
            <w:noProof/>
          </w:rPr>
          <w:t>4</w:t>
        </w:r>
        <w:r w:rsidR="00416F1F">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F" w:rsidRPr="003B5B80" w:rsidRDefault="00416F1F" w:rsidP="002C03CB">
    <w:pPr>
      <w:pStyle w:val="Footer"/>
      <w:jc w:val="right"/>
      <w:rPr>
        <w:sz w:val="20"/>
      </w:rPr>
    </w:pPr>
    <w:r w:rsidRPr="003B5B80">
      <w:rPr>
        <w:sz w:val="20"/>
      </w:rPr>
      <w:t>I</w:t>
    </w:r>
    <w:r w:rsidR="00E55A30">
      <w:rPr>
        <w:sz w:val="20"/>
      </w:rPr>
      <w:t>SSN 2202-6916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2BB" w:rsidRDefault="009142BB" w:rsidP="00930C49">
      <w:pPr>
        <w:spacing w:after="0" w:line="240" w:lineRule="auto"/>
      </w:pPr>
      <w:r>
        <w:separator/>
      </w:r>
    </w:p>
  </w:footnote>
  <w:footnote w:type="continuationSeparator" w:id="0">
    <w:p w:rsidR="009142BB" w:rsidRDefault="009142BB" w:rsidP="00930C49">
      <w:pPr>
        <w:spacing w:after="0" w:line="240" w:lineRule="auto"/>
      </w:pPr>
      <w:r>
        <w:continuationSeparator/>
      </w:r>
    </w:p>
  </w:footnote>
  <w:footnote w:id="1">
    <w:p w:rsidR="00455DA3" w:rsidRPr="00D8582F" w:rsidRDefault="00455DA3" w:rsidP="00455DA3">
      <w:pPr>
        <w:pStyle w:val="FootnoteText"/>
        <w:jc w:val="both"/>
        <w:rPr>
          <w:sz w:val="18"/>
          <w:szCs w:val="18"/>
        </w:rPr>
      </w:pPr>
      <w:r w:rsidRPr="00D8582F">
        <w:rPr>
          <w:rStyle w:val="FootnoteReference"/>
          <w:sz w:val="18"/>
          <w:szCs w:val="18"/>
        </w:rPr>
        <w:footnoteRef/>
      </w:r>
      <w:r w:rsidRPr="00D8582F">
        <w:rPr>
          <w:sz w:val="18"/>
          <w:szCs w:val="18"/>
        </w:rPr>
        <w:t xml:space="preserve"> All employment figures used in this analysis are trend series from ABS </w:t>
      </w:r>
      <w:r w:rsidRPr="00D8582F">
        <w:rPr>
          <w:i/>
          <w:sz w:val="18"/>
          <w:szCs w:val="18"/>
        </w:rPr>
        <w:t>Labour Force Survey, Australia</w:t>
      </w:r>
      <w:r w:rsidRPr="00D8582F">
        <w:rPr>
          <w:sz w:val="18"/>
          <w:szCs w:val="18"/>
        </w:rPr>
        <w:t xml:space="preserve"> (Catalogue No. 6202.0 and 6291.0) unless otherwise stated. Latest available data on employment by industry</w:t>
      </w:r>
      <w:r w:rsidR="00C95546">
        <w:rPr>
          <w:sz w:val="18"/>
          <w:szCs w:val="18"/>
        </w:rPr>
        <w:t xml:space="preserve"> and occupation are for May 2015</w:t>
      </w:r>
      <w:r w:rsidRPr="00D8582F">
        <w:rPr>
          <w:sz w:val="18"/>
          <w:szCs w:val="18"/>
        </w:rPr>
        <w:t>.</w:t>
      </w:r>
    </w:p>
  </w:footnote>
  <w:footnote w:id="2">
    <w:p w:rsidR="00455DA3" w:rsidRPr="00716A74" w:rsidRDefault="00455DA3" w:rsidP="00455DA3">
      <w:pPr>
        <w:pStyle w:val="FootnoteText"/>
        <w:jc w:val="both"/>
        <w:rPr>
          <w:sz w:val="18"/>
          <w:szCs w:val="18"/>
        </w:rPr>
      </w:pPr>
      <w:r w:rsidRPr="00D8582F">
        <w:rPr>
          <w:rStyle w:val="FootnoteReference"/>
          <w:sz w:val="18"/>
          <w:szCs w:val="18"/>
        </w:rPr>
        <w:footnoteRef/>
      </w:r>
      <w:r w:rsidRPr="00D8582F">
        <w:rPr>
          <w:sz w:val="18"/>
          <w:szCs w:val="18"/>
        </w:rPr>
        <w:t xml:space="preserve"> All employment projections used in this analysis are </w:t>
      </w:r>
      <w:r w:rsidRPr="00D8582F">
        <w:rPr>
          <w:rFonts w:cs="Arial"/>
          <w:sz w:val="18"/>
          <w:szCs w:val="18"/>
        </w:rPr>
        <w:t>Department of Employm</w:t>
      </w:r>
      <w:r w:rsidR="003576E9">
        <w:rPr>
          <w:rFonts w:cs="Arial"/>
          <w:sz w:val="18"/>
          <w:szCs w:val="18"/>
        </w:rPr>
        <w:t>ent Projections to November 2019</w:t>
      </w:r>
      <w:r w:rsidRPr="00D8582F">
        <w:rPr>
          <w:rFonts w:cs="Arial"/>
          <w:sz w:val="18"/>
          <w:szCs w:val="18"/>
        </w:rPr>
        <w:t xml:space="preserve">. </w:t>
      </w:r>
    </w:p>
  </w:footnote>
  <w:footnote w:id="3">
    <w:p w:rsidR="004659F6" w:rsidRDefault="004659F6">
      <w:pPr>
        <w:pStyle w:val="FootnoteText"/>
      </w:pPr>
      <w:r>
        <w:rPr>
          <w:rStyle w:val="FootnoteReference"/>
        </w:rPr>
        <w:footnoteRef/>
      </w:r>
      <w:r>
        <w:t xml:space="preserve"> </w:t>
      </w:r>
      <w:r w:rsidRPr="00D110FC">
        <w:rPr>
          <w:color w:val="000000" w:themeColor="text1"/>
          <w:sz w:val="18"/>
          <w:szCs w:val="18"/>
        </w:rPr>
        <w:t>Motor Vehicle and Motor Vehicle Part Manufacturing includes the manufacture of cars, vans, buses, trucks, trailers and caravans, as well as motor vehicle engines, bodies, electrical components and motor vehicle parts not elsewhere classified.</w:t>
      </w:r>
    </w:p>
  </w:footnote>
  <w:footnote w:id="4">
    <w:p w:rsidR="0079295D" w:rsidRDefault="0079295D">
      <w:pPr>
        <w:pStyle w:val="FootnoteText"/>
      </w:pPr>
      <w:r>
        <w:rPr>
          <w:rStyle w:val="FootnoteReference"/>
        </w:rPr>
        <w:footnoteRef/>
      </w:r>
      <w:r>
        <w:t xml:space="preserve"> </w:t>
      </w:r>
      <w:r w:rsidRPr="003704B1">
        <w:rPr>
          <w:color w:val="000000" w:themeColor="text1"/>
          <w:sz w:val="18"/>
          <w:szCs w:val="18"/>
        </w:rPr>
        <w:t>Other Mining Support Services includes directional drilling and redrilling; mining draining and pumping services; and oil and gas field support services.</w:t>
      </w:r>
    </w:p>
  </w:footnote>
  <w:footnote w:id="5">
    <w:p w:rsidR="0048546C" w:rsidRPr="00D8582F" w:rsidRDefault="0048546C" w:rsidP="0048546C">
      <w:pPr>
        <w:pStyle w:val="NoSpacing"/>
        <w:rPr>
          <w:i/>
          <w:sz w:val="18"/>
          <w:szCs w:val="18"/>
        </w:rPr>
      </w:pPr>
      <w:r w:rsidRPr="00D8582F">
        <w:rPr>
          <w:rStyle w:val="FootnoteReference"/>
          <w:sz w:val="18"/>
          <w:szCs w:val="18"/>
        </w:rPr>
        <w:footnoteRef/>
      </w:r>
      <w:r w:rsidRPr="00D8582F">
        <w:rPr>
          <w:sz w:val="18"/>
          <w:szCs w:val="18"/>
        </w:rPr>
        <w:t xml:space="preserve"> Please note, in some cases relevant work experience may be a substitute for formal qualifications, or relevant work experience and/or on-the-job training may be required in addition to formal qualifications and training.</w:t>
      </w:r>
      <w:r w:rsidRPr="00D8582F">
        <w:rPr>
          <w: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F1F" w:rsidRDefault="00455DA3" w:rsidP="00455DA3">
    <w:pPr>
      <w:pStyle w:val="Header"/>
      <w:jc w:val="right"/>
    </w:pPr>
    <w:r>
      <w:t>Emp</w:t>
    </w:r>
    <w:r w:rsidR="0003043E">
      <w:t>loyment Outlook to November 2019</w:t>
    </w:r>
  </w:p>
  <w:p w:rsidR="00455DA3" w:rsidRPr="00455DA3" w:rsidRDefault="00455DA3" w:rsidP="00455DA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81F"/>
    <w:multiLevelType w:val="hybridMultilevel"/>
    <w:tmpl w:val="2B5E1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446F2"/>
    <w:multiLevelType w:val="hybridMultilevel"/>
    <w:tmpl w:val="D7824744"/>
    <w:lvl w:ilvl="0" w:tplc="0C090001">
      <w:start w:val="1"/>
      <w:numFmt w:val="bullet"/>
      <w:lvlText w:val=""/>
      <w:lvlJc w:val="left"/>
      <w:pPr>
        <w:ind w:left="-346" w:hanging="360"/>
      </w:pPr>
      <w:rPr>
        <w:rFonts w:ascii="Symbol" w:hAnsi="Symbol" w:hint="default"/>
      </w:rPr>
    </w:lvl>
    <w:lvl w:ilvl="1" w:tplc="0C090003" w:tentative="1">
      <w:start w:val="1"/>
      <w:numFmt w:val="bullet"/>
      <w:lvlText w:val="o"/>
      <w:lvlJc w:val="left"/>
      <w:pPr>
        <w:ind w:left="374" w:hanging="360"/>
      </w:pPr>
      <w:rPr>
        <w:rFonts w:ascii="Courier New" w:hAnsi="Courier New" w:cs="Courier New" w:hint="default"/>
      </w:rPr>
    </w:lvl>
    <w:lvl w:ilvl="2" w:tplc="0C090005" w:tentative="1">
      <w:start w:val="1"/>
      <w:numFmt w:val="bullet"/>
      <w:lvlText w:val=""/>
      <w:lvlJc w:val="left"/>
      <w:pPr>
        <w:ind w:left="1094" w:hanging="360"/>
      </w:pPr>
      <w:rPr>
        <w:rFonts w:ascii="Wingdings" w:hAnsi="Wingdings" w:hint="default"/>
      </w:rPr>
    </w:lvl>
    <w:lvl w:ilvl="3" w:tplc="0C090001" w:tentative="1">
      <w:start w:val="1"/>
      <w:numFmt w:val="bullet"/>
      <w:lvlText w:val=""/>
      <w:lvlJc w:val="left"/>
      <w:pPr>
        <w:ind w:left="1814" w:hanging="360"/>
      </w:pPr>
      <w:rPr>
        <w:rFonts w:ascii="Symbol" w:hAnsi="Symbol" w:hint="default"/>
      </w:rPr>
    </w:lvl>
    <w:lvl w:ilvl="4" w:tplc="0C090003" w:tentative="1">
      <w:start w:val="1"/>
      <w:numFmt w:val="bullet"/>
      <w:lvlText w:val="o"/>
      <w:lvlJc w:val="left"/>
      <w:pPr>
        <w:ind w:left="2534" w:hanging="360"/>
      </w:pPr>
      <w:rPr>
        <w:rFonts w:ascii="Courier New" w:hAnsi="Courier New" w:cs="Courier New" w:hint="default"/>
      </w:rPr>
    </w:lvl>
    <w:lvl w:ilvl="5" w:tplc="0C090005" w:tentative="1">
      <w:start w:val="1"/>
      <w:numFmt w:val="bullet"/>
      <w:lvlText w:val=""/>
      <w:lvlJc w:val="left"/>
      <w:pPr>
        <w:ind w:left="3254" w:hanging="360"/>
      </w:pPr>
      <w:rPr>
        <w:rFonts w:ascii="Wingdings" w:hAnsi="Wingdings" w:hint="default"/>
      </w:rPr>
    </w:lvl>
    <w:lvl w:ilvl="6" w:tplc="0C090001" w:tentative="1">
      <w:start w:val="1"/>
      <w:numFmt w:val="bullet"/>
      <w:lvlText w:val=""/>
      <w:lvlJc w:val="left"/>
      <w:pPr>
        <w:ind w:left="3974" w:hanging="360"/>
      </w:pPr>
      <w:rPr>
        <w:rFonts w:ascii="Symbol" w:hAnsi="Symbol" w:hint="default"/>
      </w:rPr>
    </w:lvl>
    <w:lvl w:ilvl="7" w:tplc="0C090003" w:tentative="1">
      <w:start w:val="1"/>
      <w:numFmt w:val="bullet"/>
      <w:lvlText w:val="o"/>
      <w:lvlJc w:val="left"/>
      <w:pPr>
        <w:ind w:left="4694" w:hanging="360"/>
      </w:pPr>
      <w:rPr>
        <w:rFonts w:ascii="Courier New" w:hAnsi="Courier New" w:cs="Courier New" w:hint="default"/>
      </w:rPr>
    </w:lvl>
    <w:lvl w:ilvl="8" w:tplc="0C090005" w:tentative="1">
      <w:start w:val="1"/>
      <w:numFmt w:val="bullet"/>
      <w:lvlText w:val=""/>
      <w:lvlJc w:val="left"/>
      <w:pPr>
        <w:ind w:left="5414" w:hanging="360"/>
      </w:pPr>
      <w:rPr>
        <w:rFonts w:ascii="Wingdings" w:hAnsi="Wingdings" w:hint="default"/>
      </w:rPr>
    </w:lvl>
  </w:abstractNum>
  <w:abstractNum w:abstractNumId="2" w15:restartNumberingAfterBreak="0">
    <w:nsid w:val="156158C3"/>
    <w:multiLevelType w:val="hybridMultilevel"/>
    <w:tmpl w:val="3E4EBCE6"/>
    <w:lvl w:ilvl="0" w:tplc="C846C536">
      <w:numFmt w:val="bullet"/>
      <w:lvlText w:val="-"/>
      <w:lvlJc w:val="left"/>
      <w:pPr>
        <w:ind w:left="76" w:hanging="360"/>
      </w:pPr>
      <w:rPr>
        <w:rFonts w:ascii="Calibri" w:eastAsiaTheme="majorEastAsia" w:hAnsi="Calibri" w:cs="Calibri"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3" w15:restartNumberingAfterBreak="0">
    <w:nsid w:val="1F5E101E"/>
    <w:multiLevelType w:val="hybridMultilevel"/>
    <w:tmpl w:val="054CA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392C67"/>
    <w:multiLevelType w:val="hybridMultilevel"/>
    <w:tmpl w:val="58483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C445C3D"/>
    <w:multiLevelType w:val="hybridMultilevel"/>
    <w:tmpl w:val="B6AC8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B25228"/>
    <w:multiLevelType w:val="hybridMultilevel"/>
    <w:tmpl w:val="A49A2F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B1E63A4">
      <w:numFmt w:val="bullet"/>
      <w:lvlText w:val="-"/>
      <w:lvlJc w:val="left"/>
      <w:pPr>
        <w:ind w:left="2061" w:hanging="360"/>
      </w:pPr>
      <w:rPr>
        <w:rFonts w:ascii="Calibri" w:eastAsiaTheme="minorHAnsi" w:hAnsi="Calibri" w:cs="Calibri" w:hint="default"/>
      </w:rPr>
    </w:lvl>
    <w:lvl w:ilvl="3" w:tplc="3B1E63A4">
      <w:numFmt w:val="bullet"/>
      <w:lvlText w:val="-"/>
      <w:lvlJc w:val="left"/>
      <w:pPr>
        <w:ind w:left="2880" w:hanging="360"/>
      </w:pPr>
      <w:rPr>
        <w:rFonts w:ascii="Calibri" w:eastAsiaTheme="minorHAnsi" w:hAnsi="Calibri" w:cs="Calibr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A51AA1"/>
    <w:multiLevelType w:val="hybridMultilevel"/>
    <w:tmpl w:val="92984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1662BA"/>
    <w:multiLevelType w:val="hybridMultilevel"/>
    <w:tmpl w:val="6FE2AC8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9" w15:restartNumberingAfterBreak="0">
    <w:nsid w:val="35954C0C"/>
    <w:multiLevelType w:val="hybridMultilevel"/>
    <w:tmpl w:val="62C69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3A3C3A"/>
    <w:multiLevelType w:val="hybridMultilevel"/>
    <w:tmpl w:val="85244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D32066"/>
    <w:multiLevelType w:val="hybridMultilevel"/>
    <w:tmpl w:val="432E8C76"/>
    <w:lvl w:ilvl="0" w:tplc="E242B7A0">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F620E1E6">
      <w:numFmt w:val="bullet"/>
      <w:lvlText w:val="•"/>
      <w:lvlJc w:val="left"/>
      <w:pPr>
        <w:ind w:left="2880" w:hanging="1440"/>
      </w:pPr>
      <w:rPr>
        <w:rFonts w:ascii="Calibri" w:eastAsia="Times New Roman" w:hAnsi="Calibri" w:cs="Calibri"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47182D67"/>
    <w:multiLevelType w:val="hybridMultilevel"/>
    <w:tmpl w:val="FEC6B1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51A44F2D"/>
    <w:multiLevelType w:val="hybridMultilevel"/>
    <w:tmpl w:val="6DBC3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C21DE2"/>
    <w:multiLevelType w:val="hybridMultilevel"/>
    <w:tmpl w:val="512EA060"/>
    <w:lvl w:ilvl="0" w:tplc="C846C536">
      <w:numFmt w:val="bullet"/>
      <w:lvlText w:val="-"/>
      <w:lvlJc w:val="left"/>
      <w:pPr>
        <w:ind w:left="76"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CC337B"/>
    <w:multiLevelType w:val="hybridMultilevel"/>
    <w:tmpl w:val="5DA26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D256DF6"/>
    <w:multiLevelType w:val="hybridMultilevel"/>
    <w:tmpl w:val="78E8C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3461FEB"/>
    <w:multiLevelType w:val="hybridMultilevel"/>
    <w:tmpl w:val="706A281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8" w15:restartNumberingAfterBreak="0">
    <w:nsid w:val="76666A72"/>
    <w:multiLevelType w:val="hybridMultilevel"/>
    <w:tmpl w:val="714AAFAC"/>
    <w:lvl w:ilvl="0" w:tplc="C22CCEE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0"/>
  </w:num>
  <w:num w:numId="4">
    <w:abstractNumId w:val="1"/>
  </w:num>
  <w:num w:numId="5">
    <w:abstractNumId w:val="4"/>
  </w:num>
  <w:num w:numId="6">
    <w:abstractNumId w:val="5"/>
  </w:num>
  <w:num w:numId="7">
    <w:abstractNumId w:val="0"/>
  </w:num>
  <w:num w:numId="8">
    <w:abstractNumId w:val="15"/>
  </w:num>
  <w:num w:numId="9">
    <w:abstractNumId w:val="17"/>
  </w:num>
  <w:num w:numId="10">
    <w:abstractNumId w:val="6"/>
  </w:num>
  <w:num w:numId="11">
    <w:abstractNumId w:val="13"/>
  </w:num>
  <w:num w:numId="12">
    <w:abstractNumId w:val="8"/>
  </w:num>
  <w:num w:numId="13">
    <w:abstractNumId w:val="7"/>
  </w:num>
  <w:num w:numId="14">
    <w:abstractNumId w:val="2"/>
  </w:num>
  <w:num w:numId="15">
    <w:abstractNumId w:val="14"/>
  </w:num>
  <w:num w:numId="16">
    <w:abstractNumId w:val="12"/>
  </w:num>
  <w:num w:numId="17">
    <w:abstractNumId w:val="18"/>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85f4cbd0-3a95-4b5b-bddf-099068d13597"/>
    <w:docVar w:name="_AMO_XmlVersion" w:val="Empty"/>
  </w:docVars>
  <w:rsids>
    <w:rsidRoot w:val="00930C49"/>
    <w:rsid w:val="00002D89"/>
    <w:rsid w:val="00004D47"/>
    <w:rsid w:val="000107D0"/>
    <w:rsid w:val="00015675"/>
    <w:rsid w:val="00017E0D"/>
    <w:rsid w:val="0003043E"/>
    <w:rsid w:val="000567F1"/>
    <w:rsid w:val="00060C36"/>
    <w:rsid w:val="000A7D76"/>
    <w:rsid w:val="000B22C3"/>
    <w:rsid w:val="000B38A7"/>
    <w:rsid w:val="000E3D79"/>
    <w:rsid w:val="000F1AC0"/>
    <w:rsid w:val="000F3BE1"/>
    <w:rsid w:val="00101D76"/>
    <w:rsid w:val="00106D9B"/>
    <w:rsid w:val="001176A6"/>
    <w:rsid w:val="00125355"/>
    <w:rsid w:val="00131693"/>
    <w:rsid w:val="00134177"/>
    <w:rsid w:val="00163B20"/>
    <w:rsid w:val="001808C9"/>
    <w:rsid w:val="00184315"/>
    <w:rsid w:val="001B0866"/>
    <w:rsid w:val="001C2CC0"/>
    <w:rsid w:val="001C740A"/>
    <w:rsid w:val="001D40F6"/>
    <w:rsid w:val="001F6C45"/>
    <w:rsid w:val="0020602B"/>
    <w:rsid w:val="0021178D"/>
    <w:rsid w:val="00216127"/>
    <w:rsid w:val="00221B8B"/>
    <w:rsid w:val="00225693"/>
    <w:rsid w:val="002328BE"/>
    <w:rsid w:val="0023568E"/>
    <w:rsid w:val="002433CD"/>
    <w:rsid w:val="002435A0"/>
    <w:rsid w:val="00250D6D"/>
    <w:rsid w:val="0029313D"/>
    <w:rsid w:val="002B391B"/>
    <w:rsid w:val="002C03CB"/>
    <w:rsid w:val="002C31AF"/>
    <w:rsid w:val="002E63C4"/>
    <w:rsid w:val="002F2894"/>
    <w:rsid w:val="002F70B4"/>
    <w:rsid w:val="003024F0"/>
    <w:rsid w:val="003054D2"/>
    <w:rsid w:val="00310611"/>
    <w:rsid w:val="00332ACF"/>
    <w:rsid w:val="00333B68"/>
    <w:rsid w:val="0033515C"/>
    <w:rsid w:val="00341AD4"/>
    <w:rsid w:val="00346893"/>
    <w:rsid w:val="00350BBA"/>
    <w:rsid w:val="0035543C"/>
    <w:rsid w:val="003576E9"/>
    <w:rsid w:val="00360746"/>
    <w:rsid w:val="00362177"/>
    <w:rsid w:val="00363907"/>
    <w:rsid w:val="003704B1"/>
    <w:rsid w:val="00371EF0"/>
    <w:rsid w:val="003767DC"/>
    <w:rsid w:val="003A61A2"/>
    <w:rsid w:val="003B3C31"/>
    <w:rsid w:val="003B5B80"/>
    <w:rsid w:val="003D18EA"/>
    <w:rsid w:val="00416F1F"/>
    <w:rsid w:val="004236D8"/>
    <w:rsid w:val="00426E1E"/>
    <w:rsid w:val="00455DA3"/>
    <w:rsid w:val="004659F6"/>
    <w:rsid w:val="0046707F"/>
    <w:rsid w:val="00470DA2"/>
    <w:rsid w:val="0047747C"/>
    <w:rsid w:val="00480C42"/>
    <w:rsid w:val="004829C9"/>
    <w:rsid w:val="0048546C"/>
    <w:rsid w:val="00496744"/>
    <w:rsid w:val="004974D8"/>
    <w:rsid w:val="004A27F2"/>
    <w:rsid w:val="004B1071"/>
    <w:rsid w:val="004B1404"/>
    <w:rsid w:val="004B3D62"/>
    <w:rsid w:val="004B58E0"/>
    <w:rsid w:val="004B645C"/>
    <w:rsid w:val="004D24E2"/>
    <w:rsid w:val="004D2EAE"/>
    <w:rsid w:val="004D4D9C"/>
    <w:rsid w:val="004D7155"/>
    <w:rsid w:val="004E22FA"/>
    <w:rsid w:val="004E74AD"/>
    <w:rsid w:val="00506209"/>
    <w:rsid w:val="00514F9F"/>
    <w:rsid w:val="005207C2"/>
    <w:rsid w:val="005262C3"/>
    <w:rsid w:val="005364C7"/>
    <w:rsid w:val="00541E5E"/>
    <w:rsid w:val="00543119"/>
    <w:rsid w:val="00552F29"/>
    <w:rsid w:val="00554647"/>
    <w:rsid w:val="0056511C"/>
    <w:rsid w:val="0056583A"/>
    <w:rsid w:val="00572430"/>
    <w:rsid w:val="0059117E"/>
    <w:rsid w:val="005A11AF"/>
    <w:rsid w:val="005A5E65"/>
    <w:rsid w:val="005B3176"/>
    <w:rsid w:val="005B454B"/>
    <w:rsid w:val="005D09F1"/>
    <w:rsid w:val="005D1A4D"/>
    <w:rsid w:val="005D236C"/>
    <w:rsid w:val="005D4615"/>
    <w:rsid w:val="005F181C"/>
    <w:rsid w:val="00607ACB"/>
    <w:rsid w:val="00613648"/>
    <w:rsid w:val="00617ADF"/>
    <w:rsid w:val="00625A5D"/>
    <w:rsid w:val="00625EB5"/>
    <w:rsid w:val="00632683"/>
    <w:rsid w:val="00633D95"/>
    <w:rsid w:val="00641A69"/>
    <w:rsid w:val="00641CEB"/>
    <w:rsid w:val="00643655"/>
    <w:rsid w:val="00643854"/>
    <w:rsid w:val="006710B5"/>
    <w:rsid w:val="006726C9"/>
    <w:rsid w:val="00672F11"/>
    <w:rsid w:val="0069550D"/>
    <w:rsid w:val="006B3A56"/>
    <w:rsid w:val="006B5F87"/>
    <w:rsid w:val="006F711D"/>
    <w:rsid w:val="00714A94"/>
    <w:rsid w:val="00737AB0"/>
    <w:rsid w:val="0074478C"/>
    <w:rsid w:val="007725D7"/>
    <w:rsid w:val="0077292D"/>
    <w:rsid w:val="0078302F"/>
    <w:rsid w:val="0079295D"/>
    <w:rsid w:val="007B0B9C"/>
    <w:rsid w:val="007B34E5"/>
    <w:rsid w:val="007C298E"/>
    <w:rsid w:val="007C3943"/>
    <w:rsid w:val="007F669C"/>
    <w:rsid w:val="007F69C4"/>
    <w:rsid w:val="0081326C"/>
    <w:rsid w:val="008158DD"/>
    <w:rsid w:val="00830463"/>
    <w:rsid w:val="008341A7"/>
    <w:rsid w:val="0084722A"/>
    <w:rsid w:val="00852BCA"/>
    <w:rsid w:val="00860562"/>
    <w:rsid w:val="008655F8"/>
    <w:rsid w:val="00865842"/>
    <w:rsid w:val="00873170"/>
    <w:rsid w:val="008737B9"/>
    <w:rsid w:val="00875C2B"/>
    <w:rsid w:val="00881149"/>
    <w:rsid w:val="00886915"/>
    <w:rsid w:val="00887ECD"/>
    <w:rsid w:val="008A0612"/>
    <w:rsid w:val="008A7C56"/>
    <w:rsid w:val="008C4964"/>
    <w:rsid w:val="008D42D7"/>
    <w:rsid w:val="009142BB"/>
    <w:rsid w:val="00922225"/>
    <w:rsid w:val="00922284"/>
    <w:rsid w:val="00930C49"/>
    <w:rsid w:val="00931991"/>
    <w:rsid w:val="00945A99"/>
    <w:rsid w:val="0096217E"/>
    <w:rsid w:val="00962410"/>
    <w:rsid w:val="009A05C6"/>
    <w:rsid w:val="009A2F57"/>
    <w:rsid w:val="009C5F07"/>
    <w:rsid w:val="009F024B"/>
    <w:rsid w:val="00A15233"/>
    <w:rsid w:val="00A15C2D"/>
    <w:rsid w:val="00A16F52"/>
    <w:rsid w:val="00A1743E"/>
    <w:rsid w:val="00A25674"/>
    <w:rsid w:val="00A359C7"/>
    <w:rsid w:val="00A35BAC"/>
    <w:rsid w:val="00A52263"/>
    <w:rsid w:val="00A55324"/>
    <w:rsid w:val="00A63FAF"/>
    <w:rsid w:val="00A64CE9"/>
    <w:rsid w:val="00A65894"/>
    <w:rsid w:val="00A70DFC"/>
    <w:rsid w:val="00A81DAB"/>
    <w:rsid w:val="00A86FD1"/>
    <w:rsid w:val="00AA3C08"/>
    <w:rsid w:val="00AB6412"/>
    <w:rsid w:val="00AC5980"/>
    <w:rsid w:val="00AF055C"/>
    <w:rsid w:val="00B030C7"/>
    <w:rsid w:val="00B05A71"/>
    <w:rsid w:val="00B14E32"/>
    <w:rsid w:val="00B22156"/>
    <w:rsid w:val="00B309EA"/>
    <w:rsid w:val="00B31620"/>
    <w:rsid w:val="00B364F5"/>
    <w:rsid w:val="00B4410E"/>
    <w:rsid w:val="00B52E48"/>
    <w:rsid w:val="00B63517"/>
    <w:rsid w:val="00B806BA"/>
    <w:rsid w:val="00B80845"/>
    <w:rsid w:val="00B81A9B"/>
    <w:rsid w:val="00B87379"/>
    <w:rsid w:val="00B971DA"/>
    <w:rsid w:val="00BA058D"/>
    <w:rsid w:val="00BB039D"/>
    <w:rsid w:val="00BC0358"/>
    <w:rsid w:val="00BC21FB"/>
    <w:rsid w:val="00BC4D25"/>
    <w:rsid w:val="00BD2EC2"/>
    <w:rsid w:val="00BF4FD4"/>
    <w:rsid w:val="00BF7C15"/>
    <w:rsid w:val="00C06A3A"/>
    <w:rsid w:val="00C203AC"/>
    <w:rsid w:val="00C23E79"/>
    <w:rsid w:val="00C45338"/>
    <w:rsid w:val="00C47269"/>
    <w:rsid w:val="00C570ED"/>
    <w:rsid w:val="00C81AB0"/>
    <w:rsid w:val="00C94984"/>
    <w:rsid w:val="00C95546"/>
    <w:rsid w:val="00C97CA9"/>
    <w:rsid w:val="00CC5978"/>
    <w:rsid w:val="00CE0E64"/>
    <w:rsid w:val="00CE55D3"/>
    <w:rsid w:val="00D00033"/>
    <w:rsid w:val="00D135D2"/>
    <w:rsid w:val="00D23606"/>
    <w:rsid w:val="00D36B16"/>
    <w:rsid w:val="00D415C5"/>
    <w:rsid w:val="00D415EE"/>
    <w:rsid w:val="00D470DF"/>
    <w:rsid w:val="00D53C89"/>
    <w:rsid w:val="00D63F4D"/>
    <w:rsid w:val="00D757E4"/>
    <w:rsid w:val="00D80EB0"/>
    <w:rsid w:val="00D8582F"/>
    <w:rsid w:val="00D8699F"/>
    <w:rsid w:val="00D87E33"/>
    <w:rsid w:val="00D97718"/>
    <w:rsid w:val="00DB4259"/>
    <w:rsid w:val="00DC4E30"/>
    <w:rsid w:val="00DE357C"/>
    <w:rsid w:val="00E14C2A"/>
    <w:rsid w:val="00E17968"/>
    <w:rsid w:val="00E234E5"/>
    <w:rsid w:val="00E41330"/>
    <w:rsid w:val="00E449D8"/>
    <w:rsid w:val="00E55A30"/>
    <w:rsid w:val="00E65DE5"/>
    <w:rsid w:val="00E661D8"/>
    <w:rsid w:val="00E67805"/>
    <w:rsid w:val="00E67FBA"/>
    <w:rsid w:val="00E83219"/>
    <w:rsid w:val="00E85A45"/>
    <w:rsid w:val="00EA526C"/>
    <w:rsid w:val="00EA7BD9"/>
    <w:rsid w:val="00EB6FBC"/>
    <w:rsid w:val="00ED5A36"/>
    <w:rsid w:val="00F05CEB"/>
    <w:rsid w:val="00F30253"/>
    <w:rsid w:val="00F42068"/>
    <w:rsid w:val="00F42F33"/>
    <w:rsid w:val="00F543E1"/>
    <w:rsid w:val="00F56F66"/>
    <w:rsid w:val="00F71E6D"/>
    <w:rsid w:val="00F73054"/>
    <w:rsid w:val="00F813C3"/>
    <w:rsid w:val="00FA4259"/>
    <w:rsid w:val="00FD16BC"/>
    <w:rsid w:val="00FF2CB4"/>
    <w:rsid w:val="00FF43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49"/>
    <w:pPr>
      <w:spacing w:after="200" w:line="276" w:lineRule="auto"/>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uiPriority w:val="9"/>
    <w:qFormat/>
    <w:rsid w:val="00FD16BC"/>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
    <w:qFormat/>
    <w:rsid w:val="00FD16BC"/>
    <w:pPr>
      <w:keepNext/>
      <w:spacing w:before="240" w:after="60"/>
      <w:outlineLvl w:val="2"/>
    </w:pPr>
    <w:rPr>
      <w:rFonts w:cs="Arial"/>
      <w:b/>
      <w:bCs/>
      <w:szCs w:val="26"/>
    </w:rPr>
  </w:style>
  <w:style w:type="paragraph" w:styleId="Heading4">
    <w:name w:val="heading 4"/>
    <w:aliases w:val="Table heading"/>
    <w:basedOn w:val="Normal"/>
    <w:next w:val="Normal"/>
    <w:link w:val="Heading4Char"/>
    <w:uiPriority w:val="9"/>
    <w:unhideWhenUsed/>
    <w:qFormat/>
    <w:rsid w:val="00930C49"/>
    <w:pPr>
      <w:spacing w:before="200" w:after="0"/>
      <w:outlineLvl w:val="3"/>
    </w:pPr>
    <w:rPr>
      <w:rFonts w:ascii="Calibri" w:eastAsiaTheme="majorEastAsia" w:hAnsi="Calibr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4Char">
    <w:name w:val="Heading 4 Char"/>
    <w:aliases w:val="Table heading Char"/>
    <w:basedOn w:val="DefaultParagraphFont"/>
    <w:link w:val="Heading4"/>
    <w:uiPriority w:val="9"/>
    <w:rsid w:val="00930C49"/>
    <w:rPr>
      <w:rFonts w:ascii="Calibri" w:eastAsiaTheme="majorEastAsia" w:hAnsi="Calibri" w:cstheme="majorBidi"/>
      <w:b/>
      <w:bCs/>
      <w:i/>
      <w:iCs/>
      <w:sz w:val="22"/>
      <w:szCs w:val="22"/>
      <w:lang w:eastAsia="en-US"/>
    </w:rPr>
  </w:style>
  <w:style w:type="character" w:styleId="Hyperlink">
    <w:name w:val="Hyperlink"/>
    <w:basedOn w:val="DefaultParagraphFont"/>
    <w:uiPriority w:val="99"/>
    <w:unhideWhenUsed/>
    <w:rsid w:val="00930C49"/>
    <w:rPr>
      <w:color w:val="0000FF" w:themeColor="hyperlink"/>
      <w:u w:val="single"/>
    </w:rPr>
  </w:style>
  <w:style w:type="character" w:customStyle="1" w:styleId="Heading1Char">
    <w:name w:val="Heading 1 Char"/>
    <w:basedOn w:val="DefaultParagraphFont"/>
    <w:link w:val="Heading1"/>
    <w:uiPriority w:val="9"/>
    <w:rsid w:val="00930C49"/>
    <w:rPr>
      <w:rFonts w:ascii="Arial" w:eastAsia="Batang" w:hAnsi="Arial" w:cs="Arial"/>
      <w:b/>
      <w:bCs/>
      <w:sz w:val="28"/>
      <w:szCs w:val="32"/>
      <w:lang w:eastAsia="en-US"/>
    </w:rPr>
  </w:style>
  <w:style w:type="character" w:customStyle="1" w:styleId="Heading2Char">
    <w:name w:val="Heading 2 Char"/>
    <w:basedOn w:val="DefaultParagraphFont"/>
    <w:link w:val="Heading2"/>
    <w:uiPriority w:val="9"/>
    <w:rsid w:val="00930C49"/>
    <w:rPr>
      <w:rFonts w:ascii="Arial" w:hAnsi="Arial" w:cs="Arial"/>
      <w:b/>
      <w:bCs/>
      <w:iCs/>
      <w:sz w:val="26"/>
      <w:szCs w:val="28"/>
      <w:lang w:eastAsia="en-US"/>
    </w:rPr>
  </w:style>
  <w:style w:type="paragraph" w:styleId="Title">
    <w:name w:val="Title"/>
    <w:basedOn w:val="Normal"/>
    <w:next w:val="Normal"/>
    <w:link w:val="TitleChar"/>
    <w:uiPriority w:val="10"/>
    <w:qFormat/>
    <w:rsid w:val="00930C49"/>
    <w:pPr>
      <w:spacing w:before="360" w:after="120" w:line="240" w:lineRule="auto"/>
      <w:contextualSpacing/>
    </w:pPr>
    <w:rPr>
      <w:rFonts w:ascii="Calibri" w:eastAsiaTheme="majorEastAsia" w:hAnsi="Calibri" w:cstheme="majorBidi"/>
      <w:color w:val="003D6B"/>
      <w:spacing w:val="5"/>
      <w:sz w:val="60"/>
      <w:szCs w:val="60"/>
    </w:rPr>
  </w:style>
  <w:style w:type="character" w:customStyle="1" w:styleId="TitleChar">
    <w:name w:val="Title Char"/>
    <w:basedOn w:val="DefaultParagraphFont"/>
    <w:link w:val="Title"/>
    <w:uiPriority w:val="10"/>
    <w:rsid w:val="00930C49"/>
    <w:rPr>
      <w:rFonts w:ascii="Calibri" w:eastAsiaTheme="majorEastAsia" w:hAnsi="Calibri" w:cstheme="majorBidi"/>
      <w:color w:val="003D6B"/>
      <w:spacing w:val="5"/>
      <w:sz w:val="60"/>
      <w:szCs w:val="60"/>
      <w:lang w:eastAsia="en-US"/>
    </w:rPr>
  </w:style>
  <w:style w:type="paragraph" w:styleId="Subtitle">
    <w:name w:val="Subtitle"/>
    <w:aliases w:val="Table subheading"/>
    <w:basedOn w:val="Normal"/>
    <w:next w:val="Normal"/>
    <w:link w:val="SubtitleChar"/>
    <w:uiPriority w:val="11"/>
    <w:qFormat/>
    <w:rsid w:val="00930C49"/>
    <w:pPr>
      <w:spacing w:after="240"/>
    </w:pPr>
    <w:rPr>
      <w:rFonts w:ascii="Calibri" w:eastAsiaTheme="majorEastAsia" w:hAnsi="Calibri" w:cstheme="majorBidi"/>
      <w:iCs/>
      <w:color w:val="003D6B"/>
      <w:spacing w:val="13"/>
      <w:sz w:val="40"/>
      <w:szCs w:val="40"/>
    </w:rPr>
  </w:style>
  <w:style w:type="character" w:customStyle="1" w:styleId="SubtitleChar">
    <w:name w:val="Subtitle Char"/>
    <w:aliases w:val="Table subheading Char"/>
    <w:basedOn w:val="DefaultParagraphFont"/>
    <w:link w:val="Subtitle"/>
    <w:uiPriority w:val="11"/>
    <w:rsid w:val="00930C49"/>
    <w:rPr>
      <w:rFonts w:ascii="Calibri" w:eastAsiaTheme="majorEastAsia" w:hAnsi="Calibri" w:cstheme="majorBidi"/>
      <w:iCs/>
      <w:color w:val="003D6B"/>
      <w:spacing w:val="13"/>
      <w:sz w:val="40"/>
      <w:szCs w:val="40"/>
      <w:lang w:eastAsia="en-US"/>
    </w:rPr>
  </w:style>
  <w:style w:type="paragraph" w:styleId="TOCHeading">
    <w:name w:val="TOC Heading"/>
    <w:basedOn w:val="Heading1"/>
    <w:next w:val="Normal"/>
    <w:uiPriority w:val="39"/>
    <w:unhideWhenUsed/>
    <w:qFormat/>
    <w:rsid w:val="00930C49"/>
    <w:pPr>
      <w:keepNext w:val="0"/>
      <w:spacing w:before="0" w:after="240"/>
      <w:contextualSpacing/>
      <w:outlineLvl w:val="9"/>
    </w:pPr>
    <w:rPr>
      <w:rFonts w:ascii="Calibri" w:eastAsiaTheme="majorEastAsia" w:hAnsi="Calibri" w:cstheme="majorBidi"/>
      <w:color w:val="003D6B"/>
      <w:sz w:val="36"/>
      <w:szCs w:val="28"/>
      <w:lang w:bidi="en-US"/>
    </w:rPr>
  </w:style>
  <w:style w:type="paragraph" w:styleId="Header">
    <w:name w:val="header"/>
    <w:basedOn w:val="Normal"/>
    <w:link w:val="HeaderChar"/>
    <w:uiPriority w:val="99"/>
    <w:unhideWhenUsed/>
    <w:rsid w:val="00930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C49"/>
    <w:rPr>
      <w:rFonts w:asciiTheme="minorHAnsi" w:eastAsiaTheme="minorEastAsia" w:hAnsiTheme="minorHAnsi" w:cstheme="minorBidi"/>
      <w:sz w:val="22"/>
      <w:szCs w:val="22"/>
      <w:lang w:eastAsia="en-US"/>
    </w:rPr>
  </w:style>
  <w:style w:type="paragraph" w:styleId="Footer">
    <w:name w:val="footer"/>
    <w:basedOn w:val="Normal"/>
    <w:link w:val="FooterChar"/>
    <w:uiPriority w:val="99"/>
    <w:unhideWhenUsed/>
    <w:rsid w:val="00930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C49"/>
    <w:rPr>
      <w:rFonts w:asciiTheme="minorHAnsi" w:eastAsiaTheme="minorEastAsia" w:hAnsiTheme="minorHAnsi" w:cstheme="minorBidi"/>
      <w:sz w:val="22"/>
      <w:szCs w:val="22"/>
      <w:lang w:eastAsia="en-US"/>
    </w:rPr>
  </w:style>
  <w:style w:type="paragraph" w:styleId="TOC1">
    <w:name w:val="toc 1"/>
    <w:basedOn w:val="Normal"/>
    <w:next w:val="Normal"/>
    <w:autoRedefine/>
    <w:uiPriority w:val="39"/>
    <w:unhideWhenUsed/>
    <w:rsid w:val="00930C49"/>
    <w:pPr>
      <w:tabs>
        <w:tab w:val="right" w:leader="dot" w:pos="9016"/>
      </w:tabs>
      <w:spacing w:after="100"/>
    </w:pPr>
    <w:rPr>
      <w:b/>
      <w:noProof/>
    </w:rPr>
  </w:style>
  <w:style w:type="paragraph" w:styleId="TOC2">
    <w:name w:val="toc 2"/>
    <w:basedOn w:val="Normal"/>
    <w:next w:val="Normal"/>
    <w:autoRedefine/>
    <w:uiPriority w:val="39"/>
    <w:unhideWhenUsed/>
    <w:qFormat/>
    <w:rsid w:val="00930C49"/>
    <w:pPr>
      <w:spacing w:after="100"/>
      <w:ind w:left="220"/>
    </w:pPr>
  </w:style>
  <w:style w:type="paragraph" w:styleId="BalloonText">
    <w:name w:val="Balloon Text"/>
    <w:basedOn w:val="Normal"/>
    <w:link w:val="BalloonTextChar"/>
    <w:uiPriority w:val="99"/>
    <w:semiHidden/>
    <w:unhideWhenUsed/>
    <w:rsid w:val="00930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C49"/>
    <w:rPr>
      <w:rFonts w:ascii="Tahoma" w:eastAsiaTheme="minorEastAsia" w:hAnsi="Tahoma" w:cs="Tahoma"/>
      <w:sz w:val="16"/>
      <w:szCs w:val="16"/>
      <w:lang w:eastAsia="en-US"/>
    </w:rPr>
  </w:style>
  <w:style w:type="character" w:styleId="SubtleEmphasis">
    <w:name w:val="Subtle Emphasis"/>
    <w:basedOn w:val="DefaultParagraphFont"/>
    <w:uiPriority w:val="19"/>
    <w:qFormat/>
    <w:rsid w:val="00930C49"/>
    <w:rPr>
      <w:i/>
      <w:iCs/>
      <w:color w:val="808080" w:themeColor="text1" w:themeTint="7F"/>
    </w:rPr>
  </w:style>
  <w:style w:type="paragraph" w:styleId="ListParagraph">
    <w:name w:val="List Paragraph"/>
    <w:basedOn w:val="Normal"/>
    <w:uiPriority w:val="34"/>
    <w:qFormat/>
    <w:rsid w:val="00930C49"/>
    <w:pPr>
      <w:ind w:left="720"/>
      <w:contextualSpacing/>
    </w:pPr>
    <w:rPr>
      <w:rFonts w:ascii="Calibri" w:eastAsia="Calibri" w:hAnsi="Calibri" w:cs="Times New Roman"/>
    </w:rPr>
  </w:style>
  <w:style w:type="paragraph" w:styleId="NoSpacing">
    <w:name w:val="No Spacing"/>
    <w:uiPriority w:val="1"/>
    <w:qFormat/>
    <w:rsid w:val="00930C49"/>
    <w:rPr>
      <w:rFonts w:ascii="Calibri" w:eastAsia="Calibri" w:hAnsi="Calibri"/>
      <w:sz w:val="22"/>
      <w:szCs w:val="22"/>
      <w:lang w:eastAsia="en-US"/>
    </w:rPr>
  </w:style>
  <w:style w:type="character" w:customStyle="1" w:styleId="Heading3Char">
    <w:name w:val="Heading 3 Char"/>
    <w:link w:val="Heading3"/>
    <w:uiPriority w:val="9"/>
    <w:rsid w:val="00930C49"/>
    <w:rPr>
      <w:rFonts w:asciiTheme="minorHAnsi" w:eastAsiaTheme="minorEastAsia" w:hAnsiTheme="minorHAnsi" w:cs="Arial"/>
      <w:b/>
      <w:bCs/>
      <w:sz w:val="22"/>
      <w:szCs w:val="26"/>
      <w:lang w:eastAsia="en-US"/>
    </w:rPr>
  </w:style>
  <w:style w:type="table" w:styleId="TableGrid">
    <w:name w:val="Table Grid"/>
    <w:basedOn w:val="TableNormal"/>
    <w:uiPriority w:val="59"/>
    <w:rsid w:val="00930C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30C49"/>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FootnoteText">
    <w:name w:val="footnote text"/>
    <w:basedOn w:val="Normal"/>
    <w:link w:val="FootnoteTextChar"/>
    <w:uiPriority w:val="99"/>
    <w:unhideWhenUsed/>
    <w:qFormat/>
    <w:rsid w:val="00930C4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30C49"/>
    <w:rPr>
      <w:rFonts w:ascii="Calibri" w:eastAsia="Calibri" w:hAnsi="Calibri"/>
      <w:lang w:eastAsia="en-US"/>
    </w:rPr>
  </w:style>
  <w:style w:type="character" w:styleId="FootnoteReference">
    <w:name w:val="footnote reference"/>
    <w:uiPriority w:val="99"/>
    <w:unhideWhenUsed/>
    <w:rsid w:val="00930C49"/>
    <w:rPr>
      <w:vertAlign w:val="superscript"/>
    </w:rPr>
  </w:style>
  <w:style w:type="character" w:styleId="CommentReference">
    <w:name w:val="annotation reference"/>
    <w:uiPriority w:val="99"/>
    <w:semiHidden/>
    <w:unhideWhenUsed/>
    <w:rsid w:val="00930C49"/>
    <w:rPr>
      <w:sz w:val="16"/>
      <w:szCs w:val="16"/>
    </w:rPr>
  </w:style>
  <w:style w:type="paragraph" w:styleId="CommentText">
    <w:name w:val="annotation text"/>
    <w:basedOn w:val="Normal"/>
    <w:link w:val="CommentTextChar"/>
    <w:uiPriority w:val="99"/>
    <w:semiHidden/>
    <w:unhideWhenUsed/>
    <w:rsid w:val="00930C4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30C49"/>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930C49"/>
    <w:rPr>
      <w:b/>
      <w:bCs/>
    </w:rPr>
  </w:style>
  <w:style w:type="character" w:customStyle="1" w:styleId="CommentSubjectChar">
    <w:name w:val="Comment Subject Char"/>
    <w:basedOn w:val="CommentTextChar"/>
    <w:link w:val="CommentSubject"/>
    <w:uiPriority w:val="99"/>
    <w:semiHidden/>
    <w:rsid w:val="00930C49"/>
    <w:rPr>
      <w:rFonts w:ascii="Calibri" w:eastAsia="Calibri" w:hAnsi="Calibri"/>
      <w:b/>
      <w:bCs/>
      <w:lang w:eastAsia="en-US"/>
    </w:rPr>
  </w:style>
  <w:style w:type="character" w:styleId="FollowedHyperlink">
    <w:name w:val="FollowedHyperlink"/>
    <w:uiPriority w:val="99"/>
    <w:semiHidden/>
    <w:unhideWhenUsed/>
    <w:rsid w:val="00930C49"/>
    <w:rPr>
      <w:color w:val="800080"/>
      <w:u w:val="single"/>
    </w:rPr>
  </w:style>
  <w:style w:type="paragraph" w:styleId="BodyTextIndent">
    <w:name w:val="Body Text Indent"/>
    <w:basedOn w:val="Normal"/>
    <w:link w:val="BodyTextIndentChar"/>
    <w:rsid w:val="00BC21FB"/>
    <w:pPr>
      <w:spacing w:after="120" w:line="240" w:lineRule="auto"/>
      <w:ind w:left="283"/>
    </w:pPr>
    <w:rPr>
      <w:rFonts w:ascii="Arial" w:eastAsia="Times New Roman" w:hAnsi="Arial" w:cs="Times New Roman"/>
      <w:szCs w:val="20"/>
    </w:rPr>
  </w:style>
  <w:style w:type="character" w:customStyle="1" w:styleId="BodyTextIndentChar">
    <w:name w:val="Body Text Indent Char"/>
    <w:basedOn w:val="DefaultParagraphFont"/>
    <w:link w:val="BodyTextIndent"/>
    <w:rsid w:val="00BC21FB"/>
    <w:rPr>
      <w:rFonts w:ascii="Arial" w:hAnsi="Arial"/>
      <w:sz w:val="22"/>
      <w:lang w:eastAsia="en-US"/>
    </w:rPr>
  </w:style>
  <w:style w:type="paragraph" w:styleId="NormalWeb">
    <w:name w:val="Normal (Web)"/>
    <w:basedOn w:val="Normal"/>
    <w:uiPriority w:val="99"/>
    <w:semiHidden/>
    <w:unhideWhenUsed/>
    <w:rsid w:val="00015675"/>
    <w:pPr>
      <w:spacing w:before="240" w:after="24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03793">
      <w:bodyDiv w:val="1"/>
      <w:marLeft w:val="0"/>
      <w:marRight w:val="0"/>
      <w:marTop w:val="0"/>
      <w:marBottom w:val="0"/>
      <w:divBdr>
        <w:top w:val="none" w:sz="0" w:space="0" w:color="auto"/>
        <w:left w:val="none" w:sz="0" w:space="0" w:color="auto"/>
        <w:bottom w:val="none" w:sz="0" w:space="0" w:color="auto"/>
        <w:right w:val="none" w:sz="0" w:space="0" w:color="auto"/>
      </w:divBdr>
    </w:div>
    <w:div w:id="620918224">
      <w:bodyDiv w:val="1"/>
      <w:marLeft w:val="0"/>
      <w:marRight w:val="0"/>
      <w:marTop w:val="0"/>
      <w:marBottom w:val="0"/>
      <w:divBdr>
        <w:top w:val="none" w:sz="0" w:space="0" w:color="auto"/>
        <w:left w:val="none" w:sz="0" w:space="0" w:color="auto"/>
        <w:bottom w:val="none" w:sz="0" w:space="0" w:color="auto"/>
        <w:right w:val="none" w:sz="0" w:space="0" w:color="auto"/>
      </w:divBdr>
    </w:div>
    <w:div w:id="746658450">
      <w:bodyDiv w:val="1"/>
      <w:marLeft w:val="0"/>
      <w:marRight w:val="0"/>
      <w:marTop w:val="0"/>
      <w:marBottom w:val="0"/>
      <w:divBdr>
        <w:top w:val="none" w:sz="0" w:space="0" w:color="auto"/>
        <w:left w:val="none" w:sz="0" w:space="0" w:color="auto"/>
        <w:bottom w:val="none" w:sz="0" w:space="0" w:color="auto"/>
        <w:right w:val="none" w:sz="0" w:space="0" w:color="auto"/>
      </w:divBdr>
    </w:div>
    <w:div w:id="1487891712">
      <w:bodyDiv w:val="1"/>
      <w:marLeft w:val="0"/>
      <w:marRight w:val="0"/>
      <w:marTop w:val="0"/>
      <w:marBottom w:val="0"/>
      <w:divBdr>
        <w:top w:val="none" w:sz="0" w:space="0" w:color="auto"/>
        <w:left w:val="none" w:sz="0" w:space="0" w:color="auto"/>
        <w:bottom w:val="none" w:sz="0" w:space="0" w:color="auto"/>
        <w:right w:val="none" w:sz="0" w:space="0" w:color="auto"/>
      </w:divBdr>
    </w:div>
    <w:div w:id="1615794896">
      <w:bodyDiv w:val="1"/>
      <w:marLeft w:val="0"/>
      <w:marRight w:val="0"/>
      <w:marTop w:val="0"/>
      <w:marBottom w:val="0"/>
      <w:divBdr>
        <w:top w:val="none" w:sz="0" w:space="0" w:color="auto"/>
        <w:left w:val="none" w:sz="0" w:space="0" w:color="auto"/>
        <w:bottom w:val="none" w:sz="0" w:space="0" w:color="auto"/>
        <w:right w:val="none" w:sz="0" w:space="0" w:color="auto"/>
      </w:divBdr>
    </w:div>
    <w:div w:id="1710106614">
      <w:bodyDiv w:val="1"/>
      <w:marLeft w:val="0"/>
      <w:marRight w:val="0"/>
      <w:marTop w:val="96"/>
      <w:marBottom w:val="0"/>
      <w:divBdr>
        <w:top w:val="none" w:sz="0" w:space="0" w:color="auto"/>
        <w:left w:val="none" w:sz="0" w:space="0" w:color="auto"/>
        <w:bottom w:val="none" w:sz="0" w:space="0" w:color="auto"/>
        <w:right w:val="none" w:sz="0" w:space="0" w:color="auto"/>
      </w:divBdr>
      <w:divsChild>
        <w:div w:id="686978919">
          <w:marLeft w:val="0"/>
          <w:marRight w:val="0"/>
          <w:marTop w:val="0"/>
          <w:marBottom w:val="0"/>
          <w:divBdr>
            <w:top w:val="none" w:sz="0" w:space="0" w:color="auto"/>
            <w:left w:val="none" w:sz="0" w:space="0" w:color="auto"/>
            <w:bottom w:val="none" w:sz="0" w:space="0" w:color="auto"/>
            <w:right w:val="none" w:sz="0" w:space="0" w:color="auto"/>
          </w:divBdr>
          <w:divsChild>
            <w:div w:id="350573702">
              <w:marLeft w:val="0"/>
              <w:marRight w:val="0"/>
              <w:marTop w:val="780"/>
              <w:marBottom w:val="0"/>
              <w:divBdr>
                <w:top w:val="none" w:sz="0" w:space="0" w:color="auto"/>
                <w:left w:val="none" w:sz="0" w:space="0" w:color="auto"/>
                <w:bottom w:val="none" w:sz="0" w:space="0" w:color="auto"/>
                <w:right w:val="none" w:sz="0" w:space="0" w:color="auto"/>
              </w:divBdr>
              <w:divsChild>
                <w:div w:id="1062214331">
                  <w:marLeft w:val="0"/>
                  <w:marRight w:val="0"/>
                  <w:marTop w:val="0"/>
                  <w:marBottom w:val="0"/>
                  <w:divBdr>
                    <w:top w:val="none" w:sz="0" w:space="0" w:color="auto"/>
                    <w:left w:val="none" w:sz="0" w:space="0" w:color="auto"/>
                    <w:bottom w:val="none" w:sz="0" w:space="0" w:color="auto"/>
                    <w:right w:val="none" w:sz="0" w:space="0" w:color="auto"/>
                  </w:divBdr>
                  <w:divsChild>
                    <w:div w:id="20530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4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hyperlink" Target="http://lmip.gov.au/default.aspx?LMIP/EmploymentProject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employment.gov.au/system/files/doc/other/australian_jobs_2015.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lmip.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joboutlook.gov.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D9B6-7690-45EA-BB16-F3EA8DC8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2588</Words>
  <Characters>14755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2015-11-05T04:06:00Z</dcterms:created>
  <dcterms:modified xsi:type="dcterms:W3CDTF">2015-11-05T04:06:00Z</dcterms:modified>
</cp:coreProperties>
</file>