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32" w:rsidRPr="007C0AA5" w:rsidRDefault="00A32332" w:rsidP="00A32332">
      <w:pPr>
        <w:spacing w:after="200" w:line="276" w:lineRule="auto"/>
        <w:rPr>
          <w:rFonts w:ascii="Arial" w:hAnsi="Arial" w:cs="Arial"/>
          <w:sz w:val="20"/>
        </w:rPr>
      </w:pPr>
    </w:p>
    <w:p w:rsidR="00A32332" w:rsidRDefault="00A32332" w:rsidP="00A32332">
      <w:pPr>
        <w:spacing w:after="200" w:line="276" w:lineRule="auto"/>
        <w:rPr>
          <w:rFonts w:ascii="Arial" w:hAnsi="Arial" w:cs="Arial"/>
          <w:sz w:val="21"/>
          <w:szCs w:val="21"/>
        </w:rPr>
      </w:pPr>
    </w:p>
    <w:p w:rsidR="00A32332" w:rsidRDefault="00A32332" w:rsidP="00A32332">
      <w:pPr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1809750" cy="539750"/>
            <wp:effectExtent l="19050" t="0" r="0" b="0"/>
            <wp:docPr id="1" name="Picture 1" descr="CSU_Logo Mark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U_Logo Mark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page" w:tblpX="7498" w:tblpY="-1005"/>
        <w:tblW w:w="0" w:type="auto"/>
        <w:tblLook w:val="01E0"/>
      </w:tblPr>
      <w:tblGrid>
        <w:gridCol w:w="2168"/>
      </w:tblGrid>
      <w:tr w:rsidR="00A32332" w:rsidRPr="00717AD1" w:rsidTr="0037231B">
        <w:trPr>
          <w:trHeight w:val="1485"/>
        </w:trPr>
        <w:tc>
          <w:tcPr>
            <w:tcW w:w="2168" w:type="dxa"/>
            <w:vAlign w:val="center"/>
          </w:tcPr>
          <w:p w:rsidR="00A32332" w:rsidRDefault="00A32332" w:rsidP="0037231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A32332" w:rsidRDefault="00A32332" w:rsidP="0037231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A32332" w:rsidRDefault="00A32332" w:rsidP="0037231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A32332" w:rsidRDefault="00A32332" w:rsidP="0037231B">
            <w:pPr>
              <w:jc w:val="center"/>
              <w:rPr>
                <w:rFonts w:ascii="Arial" w:hAnsi="Arial" w:cs="Arial"/>
                <w:b/>
                <w:sz w:val="68"/>
                <w:szCs w:val="68"/>
              </w:rPr>
            </w:pPr>
            <w:r>
              <w:rPr>
                <w:rFonts w:ascii="Arial" w:hAnsi="Arial" w:cs="Arial"/>
                <w:sz w:val="36"/>
                <w:szCs w:val="36"/>
              </w:rPr>
              <w:t>background</w:t>
            </w:r>
            <w:r w:rsidRPr="00AB1A71">
              <w:rPr>
                <w:rFonts w:ascii="Arial" w:hAnsi="Arial" w:cs="Arial"/>
                <w:b/>
                <w:sz w:val="68"/>
                <w:szCs w:val="68"/>
              </w:rPr>
              <w:t xml:space="preserve"> </w:t>
            </w:r>
          </w:p>
          <w:p w:rsidR="00A32332" w:rsidRPr="00717AD1" w:rsidRDefault="00A32332" w:rsidP="0037231B">
            <w:pPr>
              <w:rPr>
                <w:rFonts w:ascii="Arial" w:hAnsi="Arial" w:cs="Arial"/>
                <w:b/>
                <w:sz w:val="68"/>
                <w:szCs w:val="68"/>
              </w:rPr>
            </w:pPr>
            <w:r w:rsidRPr="00AB1A71">
              <w:rPr>
                <w:rFonts w:ascii="Arial" w:hAnsi="Arial" w:cs="Arial"/>
                <w:b/>
                <w:sz w:val="68"/>
                <w:szCs w:val="68"/>
              </w:rPr>
              <w:t>n</w:t>
            </w:r>
            <w:r>
              <w:rPr>
                <w:rFonts w:ascii="Arial" w:hAnsi="Arial" w:cs="Arial"/>
                <w:b/>
                <w:sz w:val="68"/>
                <w:szCs w:val="68"/>
              </w:rPr>
              <w:t>ote</w:t>
            </w:r>
            <w:r w:rsidRPr="00AB1A71">
              <w:rPr>
                <w:rFonts w:ascii="Arial" w:hAnsi="Arial" w:cs="Arial"/>
                <w:b/>
                <w:sz w:val="68"/>
                <w:szCs w:val="68"/>
              </w:rPr>
              <w:t>s</w:t>
            </w:r>
          </w:p>
        </w:tc>
      </w:tr>
    </w:tbl>
    <w:p w:rsidR="00A32332" w:rsidRDefault="00A32332" w:rsidP="00A32332">
      <w:pPr>
        <w:spacing w:after="200" w:line="276" w:lineRule="auto"/>
        <w:rPr>
          <w:rFonts w:ascii="Arial" w:hAnsi="Arial" w:cs="Arial"/>
          <w:sz w:val="21"/>
          <w:szCs w:val="21"/>
        </w:rPr>
      </w:pPr>
    </w:p>
    <w:p w:rsidR="00A32332" w:rsidRPr="003D6B30" w:rsidRDefault="00A32332" w:rsidP="00A32332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3D6B30">
        <w:rPr>
          <w:rFonts w:ascii="Arial" w:hAnsi="Arial" w:cs="Arial"/>
          <w:b/>
          <w:sz w:val="28"/>
          <w:szCs w:val="28"/>
        </w:rPr>
        <w:t xml:space="preserve">Background notes </w:t>
      </w:r>
      <w:r w:rsidR="00B52D23">
        <w:rPr>
          <w:rFonts w:ascii="Arial" w:hAnsi="Arial" w:cs="Arial"/>
          <w:b/>
          <w:sz w:val="28"/>
          <w:szCs w:val="28"/>
        </w:rPr>
        <w:t>Professor Jeanie Herbert</w:t>
      </w:r>
    </w:p>
    <w:p w:rsidR="00B52D23" w:rsidRPr="00B61242" w:rsidRDefault="00B52D23" w:rsidP="00B52D23">
      <w:pPr>
        <w:rPr>
          <w:rFonts w:ascii="Arial" w:hAnsi="Arial" w:cs="Arial"/>
          <w:b/>
          <w:color w:val="000000"/>
          <w:sz w:val="20"/>
        </w:rPr>
      </w:pPr>
      <w:r w:rsidRPr="00B61242">
        <w:rPr>
          <w:rFonts w:ascii="Arial" w:hAnsi="Arial" w:cs="Arial"/>
          <w:b/>
          <w:color w:val="000000"/>
          <w:sz w:val="20"/>
        </w:rPr>
        <w:t xml:space="preserve">Background notes on Head of Campus at CSU in Dubbo, </w:t>
      </w:r>
      <w:r w:rsidRPr="00B61242">
        <w:rPr>
          <w:rFonts w:ascii="Arial" w:hAnsi="Arial" w:cs="Arial"/>
          <w:b/>
          <w:sz w:val="20"/>
        </w:rPr>
        <w:t xml:space="preserve">Professor </w:t>
      </w:r>
      <w:r w:rsidRPr="00B61242">
        <w:rPr>
          <w:rFonts w:ascii="Arial" w:hAnsi="Arial" w:cs="Arial"/>
          <w:b/>
          <w:noProof/>
          <w:sz w:val="20"/>
        </w:rPr>
        <w:t xml:space="preserve">Jeannie </w:t>
      </w:r>
      <w:r w:rsidRPr="00B61242">
        <w:rPr>
          <w:rFonts w:ascii="Arial" w:hAnsi="Arial" w:cs="Arial"/>
          <w:b/>
          <w:sz w:val="20"/>
        </w:rPr>
        <w:t>Herbert AM</w:t>
      </w:r>
    </w:p>
    <w:p w:rsidR="00B52D23" w:rsidRDefault="00B52D23" w:rsidP="00B52D23">
      <w:pPr>
        <w:rPr>
          <w:rFonts w:ascii="Arial" w:hAnsi="Arial" w:cs="Arial"/>
          <w:color w:val="000000"/>
          <w:sz w:val="20"/>
        </w:rPr>
      </w:pPr>
    </w:p>
    <w:p w:rsidR="00B52D23" w:rsidRDefault="00B52D23" w:rsidP="00B52D23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Professor </w:t>
      </w:r>
      <w:r>
        <w:rPr>
          <w:rFonts w:ascii="Arial" w:hAnsi="Arial" w:cs="Arial"/>
          <w:noProof/>
          <w:sz w:val="20"/>
        </w:rPr>
        <w:t xml:space="preserve">Jeannie </w:t>
      </w:r>
      <w:r>
        <w:rPr>
          <w:rFonts w:ascii="Arial" w:hAnsi="Arial" w:cs="Arial"/>
          <w:sz w:val="20"/>
        </w:rPr>
        <w:t>Herbert AM, is a member of C</w:t>
      </w:r>
      <w:r w:rsidRPr="00CF2182">
        <w:rPr>
          <w:rFonts w:ascii="Arial" w:hAnsi="Arial" w:cs="Arial"/>
          <w:sz w:val="20"/>
        </w:rPr>
        <w:t>SU's</w:t>
      </w:r>
      <w:r w:rsidRPr="00F702E4">
        <w:rPr>
          <w:rFonts w:ascii="Arial" w:hAnsi="Arial" w:cs="Arial"/>
          <w:sz w:val="20"/>
        </w:rPr>
        <w:t xml:space="preserve"> Wiradjuri Language, Culture &amp; Heritage Recovery Project Advisory Committee and </w:t>
      </w:r>
      <w:r>
        <w:rPr>
          <w:rFonts w:ascii="Arial" w:hAnsi="Arial" w:cs="Arial"/>
          <w:sz w:val="20"/>
        </w:rPr>
        <w:t xml:space="preserve">CSU’s </w:t>
      </w:r>
      <w:r w:rsidRPr="00F702E4">
        <w:rPr>
          <w:rFonts w:ascii="Arial" w:hAnsi="Arial" w:cs="Arial"/>
          <w:sz w:val="20"/>
        </w:rPr>
        <w:t>Djirruwang Program Course External Advisory Committee.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B52D23" w:rsidRDefault="00B52D23" w:rsidP="00B52D23">
      <w:pPr>
        <w:rPr>
          <w:rFonts w:ascii="Arial" w:hAnsi="Arial" w:cs="Arial"/>
          <w:color w:val="000000"/>
          <w:sz w:val="20"/>
        </w:rPr>
      </w:pPr>
    </w:p>
    <w:p w:rsidR="00B52D23" w:rsidRDefault="00B52D23" w:rsidP="00B52D23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She is</w:t>
      </w:r>
      <w:r w:rsidRPr="00CF2182">
        <w:rPr>
          <w:rFonts w:ascii="Arial" w:hAnsi="Arial" w:cs="Arial"/>
          <w:sz w:val="20"/>
        </w:rPr>
        <w:t xml:space="preserve"> a member of the National Advisory Committee for UWA’s </w:t>
      </w:r>
      <w:r w:rsidRPr="00B61242">
        <w:rPr>
          <w:rFonts w:ascii="Arial" w:hAnsi="Arial" w:cs="Arial"/>
          <w:i/>
          <w:sz w:val="20"/>
        </w:rPr>
        <w:t>National Empowerment Project</w:t>
      </w:r>
      <w:r w:rsidRPr="00CF2182">
        <w:rPr>
          <w:rFonts w:ascii="Arial" w:hAnsi="Arial" w:cs="Arial"/>
          <w:sz w:val="20"/>
        </w:rPr>
        <w:t>, funded by</w:t>
      </w:r>
      <w:r>
        <w:rPr>
          <w:rFonts w:ascii="Arial" w:hAnsi="Arial" w:cs="Arial"/>
          <w:sz w:val="20"/>
        </w:rPr>
        <w:t xml:space="preserve"> Department of Health and Aging.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B52D23" w:rsidRDefault="00B52D23" w:rsidP="00B52D23">
      <w:pPr>
        <w:rPr>
          <w:rFonts w:ascii="Arial" w:hAnsi="Arial" w:cs="Arial"/>
          <w:color w:val="000000"/>
          <w:sz w:val="20"/>
        </w:rPr>
      </w:pPr>
    </w:p>
    <w:p w:rsidR="00B52D23" w:rsidRDefault="00B52D23" w:rsidP="00B52D23">
      <w:pPr>
        <w:rPr>
          <w:rFonts w:ascii="Arial" w:hAnsi="Arial" w:cs="Arial"/>
          <w:color w:val="000000"/>
          <w:sz w:val="20"/>
        </w:rPr>
      </w:pPr>
      <w:r w:rsidRPr="00F702E4">
        <w:rPr>
          <w:rFonts w:ascii="Arial" w:hAnsi="Arial" w:cs="Arial"/>
          <w:sz w:val="20"/>
        </w:rPr>
        <w:t>In 2012, Professor Herbert was made a Member in the General Division of the Order of Australia (AM</w:t>
      </w:r>
      <w:r>
        <w:rPr>
          <w:rFonts w:ascii="Arial" w:hAnsi="Arial" w:cs="Arial"/>
          <w:sz w:val="20"/>
        </w:rPr>
        <w:t xml:space="preserve">) for her </w:t>
      </w:r>
      <w:r w:rsidRPr="00F702E4">
        <w:rPr>
          <w:rFonts w:ascii="Arial" w:hAnsi="Arial" w:cs="Arial"/>
          <w:sz w:val="20"/>
        </w:rPr>
        <w:t>service to tertiary education, particularly through improvements to educational outcom</w:t>
      </w:r>
      <w:r>
        <w:rPr>
          <w:rFonts w:ascii="Arial" w:hAnsi="Arial" w:cs="Arial"/>
          <w:sz w:val="20"/>
        </w:rPr>
        <w:t>es for Indigenous people and for</w:t>
      </w:r>
      <w:r w:rsidRPr="00F702E4">
        <w:rPr>
          <w:rFonts w:ascii="Arial" w:hAnsi="Arial" w:cs="Arial"/>
          <w:sz w:val="20"/>
        </w:rPr>
        <w:t xml:space="preserve"> the delivery of learning opportunities across regional</w:t>
      </w:r>
      <w:r>
        <w:rPr>
          <w:rFonts w:ascii="Arial" w:hAnsi="Arial" w:cs="Arial"/>
          <w:sz w:val="20"/>
        </w:rPr>
        <w:t xml:space="preserve"> and remote northern Australia.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B52D23" w:rsidRDefault="00B52D23" w:rsidP="00B52D23">
      <w:pPr>
        <w:rPr>
          <w:rFonts w:ascii="Arial" w:hAnsi="Arial" w:cs="Arial"/>
          <w:color w:val="000000"/>
          <w:sz w:val="20"/>
        </w:rPr>
      </w:pPr>
    </w:p>
    <w:p w:rsidR="00B52D23" w:rsidRDefault="00B52D23" w:rsidP="00B52D23">
      <w:pPr>
        <w:rPr>
          <w:rFonts w:ascii="Arial" w:hAnsi="Arial" w:cs="Arial"/>
          <w:sz w:val="20"/>
        </w:rPr>
      </w:pPr>
      <w:r w:rsidRPr="00CF2182">
        <w:rPr>
          <w:rFonts w:ascii="Arial" w:hAnsi="Arial" w:cs="Arial"/>
          <w:sz w:val="20"/>
        </w:rPr>
        <w:t xml:space="preserve">She has a long history of community engagement having chaired both the </w:t>
      </w:r>
      <w:hyperlink r:id="rId5" w:history="1">
        <w:r w:rsidRPr="00CF2182">
          <w:rPr>
            <w:rStyle w:val="Hyperlink"/>
            <w:rFonts w:ascii="Arial" w:hAnsi="Arial" w:cs="Arial"/>
            <w:sz w:val="20"/>
          </w:rPr>
          <w:t>Dare to Lead</w:t>
        </w:r>
      </w:hyperlink>
      <w:r w:rsidRPr="00CF2182">
        <w:rPr>
          <w:rFonts w:ascii="Arial" w:hAnsi="Arial" w:cs="Arial"/>
          <w:sz w:val="20"/>
        </w:rPr>
        <w:t xml:space="preserve"> National Steering Committee to Principals Australia Inc. and the Advisory Group for the central Australian-based Cooperative Research Centre for R</w:t>
      </w:r>
      <w:r>
        <w:rPr>
          <w:rFonts w:ascii="Arial" w:hAnsi="Arial" w:cs="Arial"/>
          <w:sz w:val="20"/>
        </w:rPr>
        <w:t xml:space="preserve">emote Economic Participation's </w:t>
      </w:r>
      <w:r w:rsidRPr="00B61242">
        <w:rPr>
          <w:rFonts w:ascii="Arial" w:hAnsi="Arial" w:cs="Arial"/>
          <w:i/>
          <w:sz w:val="20"/>
        </w:rPr>
        <w:t xml:space="preserve">Remote Education Systems </w:t>
      </w:r>
      <w:r>
        <w:rPr>
          <w:rFonts w:ascii="Arial" w:hAnsi="Arial" w:cs="Arial"/>
          <w:sz w:val="20"/>
        </w:rPr>
        <w:t xml:space="preserve">project. </w:t>
      </w:r>
    </w:p>
    <w:p w:rsidR="00B52D23" w:rsidRDefault="00B52D23" w:rsidP="00B52D23">
      <w:pPr>
        <w:rPr>
          <w:rFonts w:ascii="Arial" w:hAnsi="Arial" w:cs="Arial"/>
          <w:sz w:val="20"/>
        </w:rPr>
      </w:pPr>
    </w:p>
    <w:p w:rsidR="00B52D23" w:rsidRPr="00B61242" w:rsidRDefault="00B52D23" w:rsidP="00B52D23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She has also been </w:t>
      </w:r>
      <w:r w:rsidRPr="00CF2182">
        <w:rPr>
          <w:rFonts w:ascii="Arial" w:hAnsi="Arial" w:cs="Arial"/>
          <w:sz w:val="20"/>
        </w:rPr>
        <w:t>member of the National ACER Standing Committee on Indigenous Education</w:t>
      </w:r>
      <w:r>
        <w:t>.</w:t>
      </w:r>
    </w:p>
    <w:p w:rsidR="00A32332" w:rsidRPr="00525519" w:rsidRDefault="00A32332" w:rsidP="00A32332">
      <w:pPr>
        <w:jc w:val="right"/>
        <w:rPr>
          <w:rFonts w:ascii="Arial" w:hAnsi="Arial" w:cs="Arial"/>
          <w:b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>ends</w:t>
      </w:r>
    </w:p>
    <w:p w:rsidR="00A32332" w:rsidRPr="0054629D" w:rsidRDefault="00A32332" w:rsidP="00A32332">
      <w:pPr>
        <w:pBdr>
          <w:top w:val="single" w:sz="4" w:space="4" w:color="auto"/>
        </w:pBdr>
        <w:spacing w:after="120"/>
        <w:rPr>
          <w:rFonts w:ascii="Arial" w:hAnsi="Arial" w:cs="Arial"/>
          <w:b/>
          <w:sz w:val="20"/>
        </w:rPr>
      </w:pPr>
      <w:bookmarkStart w:id="0" w:name="OLE_LINK1"/>
      <w:bookmarkStart w:id="1" w:name="OLE_LINK2"/>
      <w:r w:rsidRPr="0030759D">
        <w:rPr>
          <w:rFonts w:ascii="Arial" w:hAnsi="Arial" w:cs="Arial"/>
          <w:b/>
          <w:sz w:val="20"/>
        </w:rPr>
        <w:t xml:space="preserve">Further information: </w:t>
      </w:r>
      <w:r w:rsidRPr="0054629D">
        <w:rPr>
          <w:rFonts w:ascii="Arial" w:hAnsi="Arial" w:cs="Arial"/>
          <w:b/>
          <w:sz w:val="20"/>
        </w:rPr>
        <w:t xml:space="preserve">Fiona Halloran or Emily Malone, CSU Media on phone (02) 6933 2207 or email </w:t>
      </w:r>
      <w:hyperlink r:id="rId6" w:history="1">
        <w:r w:rsidRPr="0054629D">
          <w:rPr>
            <w:rStyle w:val="Hyperlink"/>
            <w:rFonts w:ascii="Arial" w:hAnsi="Arial" w:cs="Arial"/>
            <w:b/>
            <w:sz w:val="20"/>
          </w:rPr>
          <w:t>wagga-media@csu.edu.au</w:t>
        </w:r>
      </w:hyperlink>
      <w:r w:rsidRPr="0054629D">
        <w:rPr>
          <w:rFonts w:ascii="Arial" w:hAnsi="Arial" w:cs="Arial"/>
          <w:b/>
          <w:sz w:val="20"/>
        </w:rPr>
        <w:t xml:space="preserve"> . Read CSU News </w:t>
      </w:r>
      <w:hyperlink r:id="rId7" w:history="1">
        <w:r w:rsidRPr="0054629D">
          <w:rPr>
            <w:rStyle w:val="Hyperlink"/>
            <w:rFonts w:ascii="Arial" w:hAnsi="Arial" w:cs="Arial"/>
            <w:b/>
            <w:sz w:val="20"/>
          </w:rPr>
          <w:t>news.csu.edu.au</w:t>
        </w:r>
      </w:hyperlink>
      <w:r w:rsidRPr="0054629D">
        <w:rPr>
          <w:rFonts w:ascii="Arial" w:hAnsi="Arial" w:cs="Arial"/>
          <w:b/>
          <w:sz w:val="20"/>
        </w:rPr>
        <w:t xml:space="preserve"> </w:t>
      </w:r>
      <w:r w:rsidRPr="0054629D">
        <w:rPr>
          <w:rFonts w:ascii="Arial" w:hAnsi="Arial" w:cs="Arial"/>
          <w:b/>
          <w:sz w:val="20"/>
          <w:u w:val="single"/>
        </w:rPr>
        <w:t xml:space="preserve"> </w:t>
      </w:r>
    </w:p>
    <w:bookmarkEnd w:id="0"/>
    <w:bookmarkEnd w:id="1"/>
    <w:p w:rsidR="00843926" w:rsidRDefault="00843926"/>
    <w:sectPr w:rsidR="00843926" w:rsidSect="0084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2332"/>
    <w:rsid w:val="00460A41"/>
    <w:rsid w:val="004B616A"/>
    <w:rsid w:val="00723968"/>
    <w:rsid w:val="00843926"/>
    <w:rsid w:val="0084534D"/>
    <w:rsid w:val="00A32332"/>
    <w:rsid w:val="00B52D23"/>
    <w:rsid w:val="00E4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23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332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su.edu.au/ne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gga-media@csu.edu.au" TargetMode="External"/><Relationship Id="rId5" Type="http://schemas.openxmlformats.org/officeDocument/2006/relationships/hyperlink" Target="../../AppData/Local/Microsoft/Windows/Temporary%20Internet%20Files/Content.Outlook/HD5900HG/redir.aspx?C=W9iJCH9-kkSIJe9whNzrOY1SC65BZdFI34EMVxTqWBu3FWueaqBSALApGNbGifOhCXWeLObZqbw.&amp;URL=http%3a%2f%2fwww.daretolead.edu.au%2fDTL2009_Hom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>Charles Sturt University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emalone</dc:creator>
  <cp:keywords/>
  <dc:description/>
  <cp:lastModifiedBy>emalone</cp:lastModifiedBy>
  <cp:revision>3</cp:revision>
  <dcterms:created xsi:type="dcterms:W3CDTF">2014-07-20T23:08:00Z</dcterms:created>
  <dcterms:modified xsi:type="dcterms:W3CDTF">2014-07-25T02:05:00Z</dcterms:modified>
</cp:coreProperties>
</file>